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3E09F0">
      <w:pPr>
        <w:widowControl/>
        <w:jc w:val="center"/>
        <w:outlineLvl w:val="0"/>
        <w:rPr>
          <w:rFonts w:ascii="Times New Roman" w:hAnsi="Times New Roman" w:eastAsia="方正小标宋简体" w:cs="宋体"/>
          <w:bCs/>
          <w:sz w:val="30"/>
          <w:szCs w:val="30"/>
          <w:highlight w:val="none"/>
        </w:rPr>
      </w:pPr>
      <w:r>
        <w:rPr>
          <w:rFonts w:hint="eastAsia" w:ascii="Times New Roman" w:hAnsi="Times New Roman" w:eastAsia="方正小标宋简体" w:cs="宋体"/>
          <w:bCs/>
          <w:sz w:val="30"/>
          <w:szCs w:val="30"/>
          <w:highlight w:val="none"/>
        </w:rPr>
        <w:t>世界银行 中国市场伙伴实施基金赠款项目（P504267）</w:t>
      </w:r>
    </w:p>
    <w:p w14:paraId="543E09F1">
      <w:pPr>
        <w:widowControl/>
        <w:jc w:val="center"/>
        <w:outlineLvl w:val="0"/>
        <w:rPr>
          <w:rFonts w:ascii="方正小标宋简体" w:hAnsi="Calibri Light" w:eastAsia="方正小标宋简体" w:cs="宋体"/>
          <w:bCs/>
          <w:sz w:val="30"/>
          <w:szCs w:val="30"/>
          <w:highlight w:val="none"/>
        </w:rPr>
      </w:pPr>
      <w:r>
        <w:rPr>
          <w:rFonts w:hint="eastAsia" w:ascii="方正小标宋简体" w:hAnsi="Calibri Light" w:eastAsia="方正小标宋简体" w:cs="宋体"/>
          <w:bCs/>
          <w:sz w:val="30"/>
          <w:szCs w:val="30"/>
          <w:highlight w:val="none"/>
        </w:rPr>
        <w:t>“加强国家ETS配额管理及MRV体系优化行业活动</w:t>
      </w:r>
    </w:p>
    <w:p w14:paraId="543E09F2">
      <w:pPr>
        <w:widowControl/>
        <w:jc w:val="center"/>
        <w:outlineLvl w:val="0"/>
        <w:rPr>
          <w:rFonts w:ascii="方正小标宋简体" w:hAnsi="Calibri Light" w:eastAsia="方正小标宋简体" w:cs="宋体"/>
          <w:bCs/>
          <w:sz w:val="30"/>
          <w:szCs w:val="30"/>
          <w:highlight w:val="none"/>
        </w:rPr>
      </w:pPr>
      <w:r>
        <w:rPr>
          <w:rFonts w:hint="eastAsia" w:ascii="方正小标宋简体" w:hAnsi="Calibri Light" w:eastAsia="方正小标宋简体" w:cs="宋体"/>
          <w:bCs/>
          <w:sz w:val="30"/>
          <w:szCs w:val="30"/>
          <w:highlight w:val="none"/>
        </w:rPr>
        <w:t>-铝冶炼行业”咨询服务</w:t>
      </w:r>
    </w:p>
    <w:p w14:paraId="543E09F3">
      <w:pPr>
        <w:jc w:val="center"/>
        <w:rPr>
          <w:rFonts w:ascii="Times New Roman" w:hAnsi="Times New Roman" w:eastAsia="方正小标宋简体" w:cs="Times New Roman"/>
          <w:sz w:val="32"/>
          <w:szCs w:val="32"/>
          <w:highlight w:val="none"/>
        </w:rPr>
      </w:pPr>
      <w:r>
        <w:rPr>
          <w:rFonts w:hint="eastAsia" w:ascii="方正小标宋简体" w:hAnsi="Calibri Light" w:eastAsia="方正小标宋简体" w:cs="宋体"/>
          <w:bCs/>
          <w:sz w:val="30"/>
          <w:szCs w:val="30"/>
          <w:highlight w:val="none"/>
        </w:rPr>
        <w:t>工作任务大纲（</w:t>
      </w:r>
      <w:r>
        <w:rPr>
          <w:rFonts w:ascii="Times New Roman" w:hAnsi="Times New Roman" w:eastAsia="方正小标宋简体" w:cs="Times New Roman"/>
          <w:bCs/>
          <w:sz w:val="30"/>
          <w:szCs w:val="30"/>
          <w:highlight w:val="none"/>
        </w:rPr>
        <w:t>PMI-</w:t>
      </w:r>
      <w:r>
        <w:rPr>
          <w:rFonts w:hint="eastAsia" w:ascii="Times New Roman" w:hAnsi="Times New Roman" w:eastAsia="方正小标宋简体" w:cs="Times New Roman"/>
          <w:bCs/>
          <w:sz w:val="30"/>
          <w:szCs w:val="30"/>
          <w:highlight w:val="none"/>
        </w:rPr>
        <w:t>10-CQS</w:t>
      </w:r>
      <w:r>
        <w:rPr>
          <w:rFonts w:hint="eastAsia" w:ascii="方正小标宋简体" w:hAnsi="Calibri Light" w:eastAsia="方正小标宋简体" w:cs="宋体"/>
          <w:bCs/>
          <w:sz w:val="30"/>
          <w:szCs w:val="30"/>
          <w:highlight w:val="none"/>
        </w:rPr>
        <w:t>）</w:t>
      </w:r>
    </w:p>
    <w:p w14:paraId="543E09F4">
      <w:pPr>
        <w:jc w:val="center"/>
        <w:rPr>
          <w:rFonts w:ascii="Times New Roman" w:hAnsi="Times New Roman" w:eastAsia="宋体" w:cs="Times New Roman"/>
          <w:b/>
          <w:bCs/>
          <w:sz w:val="24"/>
          <w:szCs w:val="28"/>
          <w:highlight w:val="none"/>
        </w:rPr>
      </w:pPr>
    </w:p>
    <w:p w14:paraId="543E09F5">
      <w:pPr>
        <w:pStyle w:val="3"/>
        <w:keepNext w:val="0"/>
        <w:keepLines w:val="0"/>
        <w:snapToGrid/>
        <w:spacing w:before="0" w:after="0"/>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一、项目背景和意义</w:t>
      </w:r>
    </w:p>
    <w:p w14:paraId="543E09F6">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为推动中国碳排放权交易市场与温室气体自愿减排交易市场的稳定发展及持续完善，世界银行与生态环境部合作实施了“中国市场伙伴实施基金项目”。该项目旨在支持中国国家层面碳定价工具的设计、实施与管理能力提升，包括优化完善全国碳排放权交易市场（ETS）与国家核证自愿减排量（CCER）体系，助力其与《巴黎协定》第六条下的国际碳交易实现衔接兼容；同时，将分析引入碳税以补充ETS的可行性。生态环境部对外合作与交流中心（FECO）受委托作为项目管理办公室（PMO），负责统筹项目实施工作。</w:t>
      </w:r>
    </w:p>
    <w:p w14:paraId="543E09F7">
      <w:pPr>
        <w:ind w:firstLine="560" w:firstLineChars="200"/>
        <w:rPr>
          <w:rFonts w:hint="eastAsia"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中国的碳市场由全国碳排放权交易市场和全国温室气体自愿减排交易市场</w:t>
      </w:r>
      <w:r>
        <w:rPr>
          <w:rFonts w:hint="eastAsia" w:ascii="Times New Roman" w:hAnsi="Times New Roman" w:eastAsia="仿宋" w:cs="Times New Roman"/>
          <w:sz w:val="28"/>
          <w:szCs w:val="28"/>
          <w:highlight w:val="none"/>
          <w:lang w:eastAsia="zh-CN"/>
        </w:rPr>
        <w:t>共同</w:t>
      </w:r>
      <w:r>
        <w:rPr>
          <w:rFonts w:ascii="Times New Roman" w:hAnsi="Times New Roman" w:eastAsia="仿宋" w:cs="Times New Roman"/>
          <w:sz w:val="28"/>
          <w:szCs w:val="28"/>
          <w:highlight w:val="none"/>
        </w:rPr>
        <w:t>组成。</w:t>
      </w:r>
      <w:r>
        <w:rPr>
          <w:rFonts w:hint="eastAsia" w:ascii="Times New Roman" w:hAnsi="Times New Roman" w:eastAsia="仿宋" w:cs="Times New Roman"/>
          <w:sz w:val="28"/>
          <w:szCs w:val="28"/>
          <w:highlight w:val="none"/>
        </w:rPr>
        <w:t>作为全球覆盖排放量最大的碳市场，</w:t>
      </w:r>
      <w:r>
        <w:rPr>
          <w:rFonts w:ascii="Times New Roman" w:hAnsi="Times New Roman" w:eastAsia="仿宋" w:cs="Times New Roman"/>
          <w:sz w:val="28"/>
          <w:szCs w:val="28"/>
          <w:highlight w:val="none"/>
        </w:rPr>
        <w:t>全国碳排放权交易市场</w:t>
      </w:r>
      <w:r>
        <w:rPr>
          <w:rFonts w:hint="eastAsia" w:ascii="Times New Roman" w:hAnsi="Times New Roman" w:eastAsia="仿宋" w:cs="Times New Roman"/>
          <w:sz w:val="28"/>
          <w:szCs w:val="28"/>
          <w:highlight w:val="none"/>
        </w:rPr>
        <w:t>自2021年7月</w:t>
      </w:r>
      <w:r>
        <w:rPr>
          <w:rFonts w:ascii="Times New Roman" w:hAnsi="Times New Roman" w:eastAsia="仿宋" w:cs="Times New Roman"/>
          <w:sz w:val="28"/>
          <w:szCs w:val="28"/>
          <w:highlight w:val="none"/>
        </w:rPr>
        <w:t>以发电行业为突破口启动</w:t>
      </w:r>
      <w:r>
        <w:rPr>
          <w:rFonts w:hint="eastAsia" w:ascii="Times New Roman" w:hAnsi="Times New Roman" w:eastAsia="仿宋" w:cs="Times New Roman"/>
          <w:sz w:val="28"/>
          <w:szCs w:val="28"/>
          <w:highlight w:val="none"/>
        </w:rPr>
        <w:t>上线交易</w:t>
      </w:r>
      <w:r>
        <w:rPr>
          <w:rFonts w:ascii="Times New Roman" w:hAnsi="Times New Roman" w:eastAsia="仿宋" w:cs="Times New Roman"/>
          <w:sz w:val="28"/>
          <w:szCs w:val="28"/>
          <w:highlight w:val="none"/>
        </w:rPr>
        <w:t>，经过</w:t>
      </w:r>
      <w:r>
        <w:rPr>
          <w:rFonts w:hint="eastAsia" w:ascii="Times New Roman" w:hAnsi="Times New Roman" w:eastAsia="仿宋" w:cs="Times New Roman"/>
          <w:sz w:val="28"/>
          <w:szCs w:val="28"/>
          <w:highlight w:val="none"/>
        </w:rPr>
        <w:t>数</w:t>
      </w:r>
      <w:r>
        <w:rPr>
          <w:rFonts w:ascii="Times New Roman" w:hAnsi="Times New Roman" w:eastAsia="仿宋" w:cs="Times New Roman"/>
          <w:sz w:val="28"/>
          <w:szCs w:val="28"/>
          <w:highlight w:val="none"/>
        </w:rPr>
        <w:t>个履约周期的建设，总体运行平稳，制度规范日趋完善、碳排放数据质量</w:t>
      </w:r>
      <w:r>
        <w:rPr>
          <w:rFonts w:hint="eastAsia" w:ascii="Times New Roman" w:hAnsi="Times New Roman" w:eastAsia="仿宋" w:cs="Times New Roman"/>
          <w:sz w:val="28"/>
          <w:szCs w:val="28"/>
          <w:highlight w:val="none"/>
          <w:lang w:eastAsia="zh-CN"/>
        </w:rPr>
        <w:t>持续</w:t>
      </w:r>
      <w:r>
        <w:rPr>
          <w:rFonts w:ascii="Times New Roman" w:hAnsi="Times New Roman" w:eastAsia="仿宋" w:cs="Times New Roman"/>
          <w:sz w:val="28"/>
          <w:szCs w:val="28"/>
          <w:highlight w:val="none"/>
        </w:rPr>
        <w:t>改善、价格发现机制作用日益显现</w:t>
      </w:r>
      <w:r>
        <w:rPr>
          <w:rFonts w:hint="eastAsia" w:ascii="Times New Roman" w:hAnsi="Times New Roman" w:eastAsia="仿宋" w:cs="Times New Roman"/>
          <w:sz w:val="28"/>
          <w:szCs w:val="28"/>
          <w:highlight w:val="none"/>
        </w:rPr>
        <w:t>。2025年</w:t>
      </w:r>
      <w:r>
        <w:rPr>
          <w:rFonts w:hint="eastAsia" w:ascii="Times New Roman" w:hAnsi="Times New Roman" w:eastAsia="仿宋" w:cs="Times New Roman"/>
          <w:sz w:val="28"/>
          <w:szCs w:val="28"/>
          <w:highlight w:val="none"/>
          <w:lang w:eastAsia="zh-CN"/>
        </w:rPr>
        <w:t>，经国务院批准，</w:t>
      </w:r>
      <w:r>
        <w:rPr>
          <w:rFonts w:hint="eastAsia" w:ascii="Times New Roman" w:hAnsi="Times New Roman" w:eastAsia="仿宋" w:cs="Times New Roman"/>
          <w:sz w:val="28"/>
          <w:szCs w:val="28"/>
          <w:highlight w:val="none"/>
        </w:rPr>
        <w:t>钢铁、水泥、铝冶炼行业</w:t>
      </w:r>
      <w:r>
        <w:rPr>
          <w:rFonts w:hint="eastAsia" w:ascii="Times New Roman" w:hAnsi="Times New Roman" w:eastAsia="仿宋" w:cs="Times New Roman"/>
          <w:sz w:val="28"/>
          <w:szCs w:val="28"/>
          <w:highlight w:val="none"/>
          <w:lang w:eastAsia="zh-CN"/>
        </w:rPr>
        <w:t>正式纳入全国碳排放权交易市场管理</w:t>
      </w:r>
      <w:r>
        <w:rPr>
          <w:rFonts w:hint="eastAsia" w:ascii="Times New Roman" w:hAnsi="Times New Roman" w:eastAsia="仿宋" w:cs="Times New Roman"/>
          <w:sz w:val="28"/>
          <w:szCs w:val="28"/>
          <w:highlight w:val="none"/>
        </w:rPr>
        <w:t>，</w:t>
      </w:r>
      <w:r>
        <w:rPr>
          <w:rFonts w:hint="eastAsia" w:ascii="Times New Roman" w:hAnsi="Times New Roman" w:eastAsia="仿宋" w:cs="Times New Roman"/>
          <w:sz w:val="28"/>
          <w:szCs w:val="28"/>
          <w:highlight w:val="none"/>
          <w:lang w:eastAsia="zh-CN"/>
        </w:rPr>
        <w:t>标志着全国碳市场首次实现行业扩围。</w:t>
      </w:r>
      <w:r>
        <w:rPr>
          <w:rFonts w:hint="eastAsia" w:ascii="Times New Roman" w:hAnsi="Times New Roman" w:eastAsia="仿宋" w:cs="Times New Roman"/>
          <w:sz w:val="28"/>
          <w:szCs w:val="28"/>
          <w:highlight w:val="none"/>
        </w:rPr>
        <w:t>扩围后，全国碳排放权交易市场覆盖约3500家重点排放单位，年覆盖二氧化碳排放量超过80亿吨，其排放量占中国碳排放总量的60%左右。全国温室气体自愿减排交易市场于2024年1月启动，制度体系、方法学、支撑系统、监管体系逐步完善。</w:t>
      </w:r>
    </w:p>
    <w:p w14:paraId="1A186541">
      <w:pPr>
        <w:pStyle w:val="2"/>
        <w:rPr>
          <w:rFonts w:hint="eastAsia" w:eastAsia="仿宋"/>
          <w:highlight w:val="none"/>
          <w:lang w:eastAsia="zh-CN"/>
        </w:rPr>
      </w:pPr>
      <w:r>
        <w:rPr>
          <w:rFonts w:hint="eastAsia" w:ascii="Times New Roman" w:hAnsi="Times New Roman" w:eastAsia="仿宋" w:cs="Times New Roman"/>
          <w:sz w:val="28"/>
          <w:szCs w:val="28"/>
          <w:highlight w:val="none"/>
        </w:rPr>
        <w:t>2024年，国务院发布《碳排放权交易管理暂行条例》（国务院令第775号），为全国碳市场运行确立了统一的法律与制度框架。2025年，生态环境部发布了《全国碳排放权交易市场覆盖钢铁、水泥、铝冶炼行业工作方案》，明确了</w:t>
      </w:r>
      <w:r>
        <w:rPr>
          <w:rFonts w:hint="eastAsia" w:eastAsia="仿宋" w:cs="Times New Roman"/>
          <w:sz w:val="28"/>
          <w:szCs w:val="28"/>
          <w:highlight w:val="none"/>
          <w:lang w:eastAsia="zh-CN"/>
        </w:rPr>
        <w:t>铝冶炼</w:t>
      </w:r>
      <w:r>
        <w:rPr>
          <w:rFonts w:hint="eastAsia" w:ascii="Times New Roman" w:hAnsi="Times New Roman" w:eastAsia="仿宋" w:cs="Times New Roman"/>
          <w:sz w:val="28"/>
          <w:szCs w:val="28"/>
          <w:highlight w:val="none"/>
        </w:rPr>
        <w:t>等新纳入行业的分阶段推进路径。2025年8月，中共中央办公厅、国务院办公厅发布《关于推进绿色低碳转型加强全国碳市场建设的意见》，提出到2027年对碳排放总量相对稳定的行业优先实施配额总量控制，稳妥推行免费和有偿相结合的碳排放配额分配方式，有序提高有偿分配比例，并对数据质量管理体系建设、碳市场与绿电绿证等市场化机制的政策协同等作出明确安排。2026年，《中华人民共和国国民经济和社会发展第十五个五年规划纲要》（以下简称《纲要》）颁布实施，明确提出全面实施碳排放总量和强度双控制度，坚持政策引导和市场激励相结合，稳步实施地方碳考核、行业碳管控、企业碳管理、项目碳评价、产品碳足迹等政策制度。</w:t>
      </w:r>
    </w:p>
    <w:p w14:paraId="42AF984A">
      <w:pPr>
        <w:ind w:firstLine="560" w:firstLineChars="200"/>
        <w:rPr>
          <w:rFonts w:hint="eastAsia"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铝冶炼行业作为首批扩围行业，覆盖的温室气体种类包括二氧化碳</w:t>
      </w:r>
      <w:r>
        <w:rPr>
          <w:rFonts w:hint="eastAsia" w:ascii="Times New Roman" w:hAnsi="Times New Roman" w:eastAsia="仿宋" w:cs="Times New Roman"/>
          <w:sz w:val="28"/>
          <w:szCs w:val="28"/>
          <w:highlight w:val="none"/>
          <w:lang w:eastAsia="zh-CN"/>
        </w:rPr>
        <w:t>（</w:t>
      </w:r>
      <w:r>
        <w:rPr>
          <w:rFonts w:hint="eastAsia" w:ascii="Times New Roman" w:hAnsi="Times New Roman" w:eastAsia="仿宋" w:cs="Times New Roman"/>
          <w:sz w:val="28"/>
          <w:szCs w:val="28"/>
          <w:highlight w:val="none"/>
          <w:lang w:val="en-US" w:eastAsia="zh-CN"/>
        </w:rPr>
        <w:t>CO</w:t>
      </w:r>
      <w:r>
        <w:rPr>
          <w:rFonts w:hint="eastAsia" w:ascii="Times New Roman" w:hAnsi="Times New Roman" w:eastAsia="仿宋" w:cs="Times New Roman"/>
          <w:sz w:val="28"/>
          <w:szCs w:val="28"/>
          <w:highlight w:val="none"/>
          <w:vertAlign w:val="subscript"/>
          <w:lang w:val="en-US" w:eastAsia="zh-CN"/>
        </w:rPr>
        <w:t>2</w:t>
      </w:r>
      <w:r>
        <w:rPr>
          <w:rFonts w:hint="eastAsia" w:ascii="Times New Roman" w:hAnsi="Times New Roman" w:eastAsia="仿宋" w:cs="Times New Roman"/>
          <w:sz w:val="28"/>
          <w:szCs w:val="28"/>
          <w:highlight w:val="none"/>
          <w:lang w:eastAsia="zh-CN"/>
        </w:rPr>
        <w:t>）</w:t>
      </w:r>
      <w:r>
        <w:rPr>
          <w:rFonts w:hint="eastAsia" w:ascii="Times New Roman" w:hAnsi="Times New Roman" w:eastAsia="仿宋" w:cs="Times New Roman"/>
          <w:sz w:val="28"/>
          <w:szCs w:val="28"/>
          <w:highlight w:val="none"/>
        </w:rPr>
        <w:t>、四氟化碳</w:t>
      </w:r>
      <w:r>
        <w:rPr>
          <w:rFonts w:hint="eastAsia" w:ascii="Times New Roman" w:hAnsi="Times New Roman" w:eastAsia="仿宋" w:cs="Times New Roman"/>
          <w:sz w:val="28"/>
          <w:szCs w:val="28"/>
          <w:highlight w:val="none"/>
          <w:lang w:eastAsia="zh-CN"/>
        </w:rPr>
        <w:t>（</w:t>
      </w:r>
      <w:r>
        <w:rPr>
          <w:rFonts w:hint="eastAsia" w:ascii="Times New Roman" w:hAnsi="Times New Roman" w:eastAsia="仿宋" w:cs="Times New Roman"/>
          <w:sz w:val="28"/>
          <w:szCs w:val="28"/>
          <w:highlight w:val="none"/>
          <w:lang w:val="en-US" w:eastAsia="zh-CN"/>
        </w:rPr>
        <w:t>CF</w:t>
      </w:r>
      <w:r>
        <w:rPr>
          <w:rFonts w:hint="eastAsia" w:ascii="Times New Roman" w:hAnsi="Times New Roman" w:eastAsia="仿宋" w:cs="Times New Roman"/>
          <w:sz w:val="28"/>
          <w:szCs w:val="28"/>
          <w:highlight w:val="none"/>
          <w:vertAlign w:val="subscript"/>
          <w:lang w:val="en-US" w:eastAsia="zh-CN"/>
        </w:rPr>
        <w:t>4</w:t>
      </w:r>
      <w:r>
        <w:rPr>
          <w:rFonts w:hint="eastAsia" w:ascii="Times New Roman" w:hAnsi="Times New Roman" w:eastAsia="仿宋" w:cs="Times New Roman"/>
          <w:sz w:val="28"/>
          <w:szCs w:val="28"/>
          <w:highlight w:val="none"/>
          <w:lang w:eastAsia="zh-CN"/>
        </w:rPr>
        <w:t>）</w:t>
      </w:r>
      <w:r>
        <w:rPr>
          <w:rFonts w:hint="eastAsia" w:ascii="Times New Roman" w:hAnsi="Times New Roman" w:eastAsia="仿宋" w:cs="Times New Roman"/>
          <w:sz w:val="28"/>
          <w:szCs w:val="28"/>
          <w:highlight w:val="none"/>
        </w:rPr>
        <w:t>和六氟化二碳</w:t>
      </w:r>
      <w:r>
        <w:rPr>
          <w:rFonts w:hint="eastAsia" w:ascii="Times New Roman" w:hAnsi="Times New Roman" w:eastAsia="仿宋" w:cs="Times New Roman"/>
          <w:sz w:val="28"/>
          <w:szCs w:val="28"/>
          <w:highlight w:val="none"/>
          <w:lang w:eastAsia="zh-CN"/>
        </w:rPr>
        <w:t>（</w:t>
      </w:r>
      <w:r>
        <w:rPr>
          <w:rFonts w:hint="eastAsia" w:ascii="Times New Roman" w:hAnsi="Times New Roman" w:eastAsia="仿宋" w:cs="Times New Roman"/>
          <w:sz w:val="28"/>
          <w:szCs w:val="28"/>
          <w:highlight w:val="none"/>
          <w:lang w:val="en-US" w:eastAsia="zh-CN"/>
        </w:rPr>
        <w:t>C</w:t>
      </w:r>
      <w:r>
        <w:rPr>
          <w:rFonts w:hint="eastAsia" w:ascii="Times New Roman" w:hAnsi="Times New Roman" w:eastAsia="仿宋" w:cs="Times New Roman"/>
          <w:sz w:val="28"/>
          <w:szCs w:val="28"/>
          <w:highlight w:val="none"/>
          <w:vertAlign w:val="subscript"/>
          <w:lang w:val="en-US" w:eastAsia="zh-CN"/>
        </w:rPr>
        <w:t>2</w:t>
      </w:r>
      <w:r>
        <w:rPr>
          <w:rFonts w:hint="eastAsia" w:ascii="Times New Roman" w:hAnsi="Times New Roman" w:eastAsia="仿宋" w:cs="Times New Roman"/>
          <w:sz w:val="28"/>
          <w:szCs w:val="28"/>
          <w:highlight w:val="none"/>
          <w:lang w:val="en-US" w:eastAsia="zh-CN"/>
        </w:rPr>
        <w:t>F</w:t>
      </w:r>
      <w:r>
        <w:rPr>
          <w:rFonts w:hint="eastAsia" w:ascii="Times New Roman" w:hAnsi="Times New Roman" w:eastAsia="仿宋" w:cs="Times New Roman"/>
          <w:sz w:val="28"/>
          <w:szCs w:val="28"/>
          <w:highlight w:val="none"/>
          <w:vertAlign w:val="subscript"/>
          <w:lang w:val="en-US" w:eastAsia="zh-CN"/>
        </w:rPr>
        <w:t>6</w:t>
      </w:r>
      <w:r>
        <w:rPr>
          <w:rFonts w:hint="eastAsia" w:ascii="Times New Roman" w:hAnsi="Times New Roman" w:eastAsia="仿宋" w:cs="Times New Roman"/>
          <w:sz w:val="28"/>
          <w:szCs w:val="28"/>
          <w:highlight w:val="none"/>
          <w:lang w:eastAsia="zh-CN"/>
        </w:rPr>
        <w:t>）</w:t>
      </w:r>
      <w:r>
        <w:rPr>
          <w:rFonts w:hint="eastAsia" w:ascii="Times New Roman" w:hAnsi="Times New Roman" w:eastAsia="仿宋" w:cs="Times New Roman"/>
          <w:sz w:val="28"/>
          <w:szCs w:val="28"/>
          <w:highlight w:val="none"/>
        </w:rPr>
        <w:t>，成为目前碳市场覆盖温室气体种类最多的行业之一</w:t>
      </w:r>
      <w:r>
        <w:rPr>
          <w:rFonts w:hint="eastAsia" w:ascii="Times New Roman" w:hAnsi="Times New Roman" w:eastAsia="仿宋" w:cs="Times New Roman"/>
          <w:sz w:val="28"/>
          <w:szCs w:val="28"/>
          <w:highlight w:val="none"/>
          <w:lang w:eastAsia="zh-CN"/>
        </w:rPr>
        <w:t>。</w:t>
      </w:r>
      <w:r>
        <w:rPr>
          <w:rFonts w:hint="eastAsia" w:ascii="Times New Roman" w:hAnsi="Times New Roman" w:eastAsia="仿宋" w:cs="Times New Roman"/>
          <w:sz w:val="28"/>
          <w:szCs w:val="28"/>
          <w:highlight w:val="none"/>
        </w:rPr>
        <w:t>2025年是铝冶炼行业纳入全国碳排放权交易市场的首个管控年度。为保障铝冶炼行业平稳有序纳入碳市场，2025年1月，生态环境部发布了《企业温室气体排放核算与报告指南 铝冶炼行业》及《企业温室气体排放核查技术指南 铝冶炼行业》，明确了核算边界、排放源确定、数据质量控制方案要求及核查技术要求。同年12月，生态环境部印发了《2024、2025年度全国碳排放权交易市场钢铁、水泥、铝冶炼行业配额总量和分配方案》（以下简称《配额分配方案》），为铝冶炼行业配额分配提供了技术依据。根据《配额分配方案》，铝冶炼行业配额分配仅覆盖铝电解工序的直接排放，不覆盖因消耗电力、热力带来的间接排放。</w:t>
      </w:r>
    </w:p>
    <w:p w14:paraId="74E9BA1C">
      <w:pPr>
        <w:ind w:firstLine="560" w:firstLineChars="200"/>
        <w:rPr>
          <w:rFonts w:hint="eastAsia"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当前，铝冶炼行业配额分配方案处于实施初期，仍需持续优化以更好匹配行业工艺特点与减排潜力。在配额管理方面，铝冶炼行业具有温室气体种类多、核算边界复杂的特点，企业层级核算需涵盖铝冶炼设施（含化石燃料燃烧、能源作为原材料用途、阳极效应、碳酸盐分解等）、发电设施及其他非铝冶炼产品生产设施，而配额分配仅聚焦铝电解工序的直接排放，两者之间存在层级差异，需进一步研究核算与配额分配的衔接关系。随着碳市场顶层设计方向逐步明确，铝冶炼行业</w:t>
      </w:r>
      <w:r>
        <w:rPr>
          <w:rFonts w:hint="eastAsia" w:ascii="Times New Roman" w:hAnsi="Times New Roman" w:eastAsia="仿宋" w:cs="Times New Roman"/>
          <w:sz w:val="28"/>
          <w:szCs w:val="28"/>
          <w:highlight w:val="none"/>
          <w:lang w:eastAsia="zh-CN"/>
        </w:rPr>
        <w:t>还</w:t>
      </w:r>
      <w:r>
        <w:rPr>
          <w:rFonts w:hint="eastAsia" w:ascii="Times New Roman" w:hAnsi="Times New Roman" w:eastAsia="仿宋" w:cs="Times New Roman"/>
          <w:sz w:val="28"/>
          <w:szCs w:val="28"/>
          <w:highlight w:val="none"/>
        </w:rPr>
        <w:t>需提前研究适应配额总量控制及有偿分配转型的制度安排和管理方案。在监测、报告、核查（以下简称“</w:t>
      </w:r>
      <w:r>
        <w:rPr>
          <w:rFonts w:ascii="Times New Roman" w:hAnsi="Times New Roman" w:eastAsia="仿宋" w:cs="Times New Roman"/>
          <w:sz w:val="28"/>
          <w:szCs w:val="28"/>
          <w:highlight w:val="none"/>
        </w:rPr>
        <w:t>MRV”）</w:t>
      </w:r>
      <w:r>
        <w:rPr>
          <w:rFonts w:hint="eastAsia" w:ascii="Times New Roman" w:hAnsi="Times New Roman" w:eastAsia="仿宋" w:cs="Times New Roman"/>
          <w:sz w:val="28"/>
          <w:szCs w:val="28"/>
          <w:highlight w:val="none"/>
        </w:rPr>
        <w:t>体系方面，行业MRV体系虽已初步建立，但在数据质量控制、核算指南可操作性、</w:t>
      </w:r>
      <w:r>
        <w:rPr>
          <w:rFonts w:hint="eastAsia" w:ascii="Times New Roman" w:hAnsi="Times New Roman" w:eastAsia="仿宋" w:cs="Times New Roman"/>
          <w:sz w:val="28"/>
          <w:szCs w:val="28"/>
          <w:highlight w:val="none"/>
          <w:lang w:eastAsia="zh-CN"/>
        </w:rPr>
        <w:t>核查工作的规范化与一致性</w:t>
      </w:r>
      <w:r>
        <w:rPr>
          <w:rFonts w:hint="eastAsia" w:ascii="Times New Roman" w:hAnsi="Times New Roman" w:eastAsia="仿宋" w:cs="Times New Roman"/>
          <w:sz w:val="28"/>
          <w:szCs w:val="28"/>
          <w:highlight w:val="none"/>
        </w:rPr>
        <w:t>等方面仍有提升空间。</w:t>
      </w:r>
    </w:p>
    <w:p w14:paraId="543E09F8">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铝冶炼行业作为首批扩围行业，其配额管理的科学性与MRV体系的完整性，关系到全国碳市场的运行质量与公信力。为此，系统梳理铝冶炼行业在配额管理与MRV体系中的关键问题，并充分衔接碳市场顶层设计方向，</w:t>
      </w:r>
      <w:r>
        <w:rPr>
          <w:rFonts w:hint="eastAsia" w:ascii="Times New Roman" w:hAnsi="Times New Roman" w:eastAsia="仿宋" w:cs="Times New Roman"/>
          <w:sz w:val="28"/>
          <w:szCs w:val="28"/>
          <w:highlight w:val="none"/>
          <w:lang w:eastAsia="zh-CN"/>
        </w:rPr>
        <w:t>是</w:t>
      </w:r>
      <w:r>
        <w:rPr>
          <w:rFonts w:hint="eastAsia" w:ascii="Times New Roman" w:hAnsi="Times New Roman" w:eastAsia="仿宋" w:cs="Times New Roman"/>
          <w:sz w:val="28"/>
          <w:szCs w:val="28"/>
          <w:highlight w:val="none"/>
        </w:rPr>
        <w:t>当前全国碳市场制度完善的重要环节。</w:t>
      </w:r>
    </w:p>
    <w:p w14:paraId="543E09F9">
      <w:pPr>
        <w:pStyle w:val="3"/>
        <w:keepNext w:val="0"/>
        <w:keepLines w:val="0"/>
        <w:snapToGrid/>
        <w:spacing w:before="0" w:after="0"/>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二、总体目标</w:t>
      </w:r>
    </w:p>
    <w:p w14:paraId="543E09FA">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本分包任务旨在聚焦铝冶炼行业配额管理与MRV体系协同优化，通过系统梳理铝冶炼行业在碳排放权交易市场实施过程中的运行实况，识别现行政策在技术规范、执行流程与协同机制等方面的问题与薄弱环节，立足行业技术进步与能源转型趋势，</w:t>
      </w:r>
      <w:r>
        <w:rPr>
          <w:rFonts w:hint="eastAsia" w:ascii="Times New Roman" w:hAnsi="Times New Roman" w:eastAsia="仿宋" w:cs="Times New Roman"/>
          <w:sz w:val="28"/>
          <w:szCs w:val="28"/>
          <w:highlight w:val="none"/>
          <w:lang w:eastAsia="zh-CN"/>
        </w:rPr>
        <w:t>综合考虑配额总量控制及有偿分配方案实施的顶层设计方向，从行业角度</w:t>
      </w:r>
      <w:r>
        <w:rPr>
          <w:rFonts w:hint="eastAsia" w:ascii="Times New Roman" w:hAnsi="Times New Roman" w:eastAsia="仿宋" w:cs="Times New Roman"/>
          <w:sz w:val="28"/>
          <w:szCs w:val="28"/>
          <w:highlight w:val="none"/>
        </w:rPr>
        <w:t>提出兼具科学性、公平性与可操作性的配额方案优化建议及MRV体系改进措施，为铝冶炼行业</w:t>
      </w:r>
      <w:r>
        <w:rPr>
          <w:rFonts w:hint="eastAsia" w:ascii="Times New Roman" w:hAnsi="Times New Roman" w:eastAsia="仿宋" w:cs="Times New Roman"/>
          <w:sz w:val="28"/>
          <w:szCs w:val="28"/>
          <w:highlight w:val="none"/>
          <w:lang w:eastAsia="zh-CN"/>
        </w:rPr>
        <w:t>提前</w:t>
      </w:r>
      <w:r>
        <w:rPr>
          <w:rFonts w:hint="eastAsia" w:ascii="Times New Roman" w:hAnsi="Times New Roman" w:eastAsia="仿宋" w:cs="Times New Roman"/>
          <w:sz w:val="28"/>
          <w:szCs w:val="28"/>
          <w:highlight w:val="none"/>
        </w:rPr>
        <w:t>适应碳市场制度转型提供技术支撑，推动铝冶炼行业在碳市场机制下实现高质量发展。</w:t>
      </w:r>
    </w:p>
    <w:p w14:paraId="543E09FB">
      <w:pPr>
        <w:pStyle w:val="3"/>
        <w:keepNext w:val="0"/>
        <w:keepLines w:val="0"/>
        <w:snapToGrid/>
        <w:spacing w:before="0" w:after="0"/>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三、工作内容及要求</w:t>
      </w:r>
    </w:p>
    <w:p w14:paraId="543E09FC">
      <w:pPr>
        <w:ind w:firstLine="562" w:firstLineChars="200"/>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lang w:val="en-US" w:eastAsia="zh-CN"/>
        </w:rPr>
        <w:t xml:space="preserve">3.1 </w:t>
      </w:r>
      <w:r>
        <w:rPr>
          <w:rFonts w:hint="eastAsia" w:ascii="Times New Roman" w:hAnsi="Times New Roman" w:eastAsia="仿宋" w:cs="Times New Roman"/>
          <w:b/>
          <w:bCs/>
          <w:sz w:val="28"/>
          <w:szCs w:val="28"/>
          <w:highlight w:val="none"/>
        </w:rPr>
        <w:t>总体工作范围</w:t>
      </w:r>
    </w:p>
    <w:p w14:paraId="543E09FD">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本分包任务涵盖铝冶炼行业配额分配机制评估、MRV体系运行效能诊断两大核心</w:t>
      </w:r>
      <w:r>
        <w:rPr>
          <w:rFonts w:hint="eastAsia" w:ascii="Times New Roman" w:hAnsi="Times New Roman" w:eastAsia="仿宋" w:cs="Times New Roman"/>
          <w:sz w:val="28"/>
          <w:szCs w:val="28"/>
          <w:highlight w:val="none"/>
          <w:lang w:eastAsia="zh-CN"/>
        </w:rPr>
        <w:t>内容</w:t>
      </w:r>
      <w:r>
        <w:rPr>
          <w:rFonts w:hint="eastAsia" w:ascii="Times New Roman" w:hAnsi="Times New Roman" w:eastAsia="仿宋" w:cs="Times New Roman"/>
          <w:sz w:val="28"/>
          <w:szCs w:val="28"/>
          <w:highlight w:val="none"/>
        </w:rPr>
        <w:t>，</w:t>
      </w:r>
      <w:r>
        <w:rPr>
          <w:rFonts w:hint="eastAsia" w:ascii="Times New Roman" w:hAnsi="Times New Roman" w:eastAsia="仿宋" w:cs="Times New Roman"/>
          <w:sz w:val="28"/>
          <w:szCs w:val="28"/>
          <w:highlight w:val="none"/>
          <w:lang w:eastAsia="zh-CN"/>
        </w:rPr>
        <w:t>通过</w:t>
      </w:r>
      <w:r>
        <w:rPr>
          <w:rFonts w:hint="eastAsia" w:ascii="Times New Roman" w:hAnsi="Times New Roman" w:eastAsia="仿宋" w:cs="Times New Roman"/>
          <w:sz w:val="28"/>
          <w:szCs w:val="28"/>
          <w:highlight w:val="none"/>
        </w:rPr>
        <w:t>分析梳理行业现状、发展动态及趋势，深入了解企业在碳排放领域的实际困难及政策诉求</w:t>
      </w:r>
      <w:r>
        <w:rPr>
          <w:rFonts w:hint="eastAsia" w:ascii="Times New Roman" w:hAnsi="Times New Roman" w:eastAsia="仿宋" w:cs="Times New Roman"/>
          <w:sz w:val="28"/>
          <w:szCs w:val="28"/>
          <w:highlight w:val="none"/>
          <w:lang w:eastAsia="zh-CN"/>
        </w:rPr>
        <w:t>，综合考虑主管部门在政策执行中的问题与建议，</w:t>
      </w:r>
      <w:r>
        <w:rPr>
          <w:rFonts w:ascii="Times New Roman" w:hAnsi="Times New Roman" w:eastAsia="仿宋" w:cs="Times New Roman"/>
          <w:sz w:val="28"/>
          <w:szCs w:val="28"/>
          <w:highlight w:val="none"/>
        </w:rPr>
        <w:t>结合国际</w:t>
      </w:r>
      <w:r>
        <w:rPr>
          <w:rFonts w:hint="eastAsia" w:ascii="Times New Roman" w:hAnsi="Times New Roman" w:eastAsia="仿宋" w:cs="Times New Roman"/>
          <w:sz w:val="28"/>
          <w:szCs w:val="28"/>
          <w:highlight w:val="none"/>
          <w:lang w:eastAsia="zh-CN"/>
        </w:rPr>
        <w:t>碳市场的</w:t>
      </w:r>
      <w:r>
        <w:rPr>
          <w:rFonts w:ascii="Times New Roman" w:hAnsi="Times New Roman" w:eastAsia="仿宋" w:cs="Times New Roman"/>
          <w:sz w:val="28"/>
          <w:szCs w:val="28"/>
          <w:highlight w:val="none"/>
        </w:rPr>
        <w:t>经验</w:t>
      </w:r>
      <w:r>
        <w:rPr>
          <w:rFonts w:hint="eastAsia" w:ascii="Times New Roman" w:hAnsi="Times New Roman" w:eastAsia="仿宋" w:cs="Times New Roman"/>
          <w:sz w:val="28"/>
          <w:szCs w:val="28"/>
          <w:highlight w:val="none"/>
          <w:lang w:eastAsia="zh-CN"/>
        </w:rPr>
        <w:t>梳理，形成行业需求分析报告</w:t>
      </w:r>
      <w:r>
        <w:rPr>
          <w:rFonts w:hint="eastAsia" w:ascii="Times New Roman" w:hAnsi="Times New Roman" w:eastAsia="仿宋" w:cs="Times New Roman"/>
          <w:sz w:val="28"/>
          <w:szCs w:val="28"/>
          <w:highlight w:val="none"/>
        </w:rPr>
        <w:t>；评估当前铝冶炼行业配额管理机制</w:t>
      </w:r>
      <w:r>
        <w:rPr>
          <w:rFonts w:hint="eastAsia" w:ascii="Times New Roman" w:hAnsi="Times New Roman" w:eastAsia="仿宋" w:cs="Times New Roman"/>
          <w:sz w:val="28"/>
          <w:szCs w:val="28"/>
          <w:highlight w:val="none"/>
          <w:lang w:eastAsia="zh-CN"/>
        </w:rPr>
        <w:t>的实施效果，基于配额总量控制、有偿分配的顶层设计方向，</w:t>
      </w:r>
      <w:r>
        <w:rPr>
          <w:rFonts w:hint="eastAsia" w:ascii="Times New Roman" w:hAnsi="Times New Roman" w:eastAsia="仿宋" w:cs="Times New Roman"/>
          <w:sz w:val="28"/>
          <w:szCs w:val="28"/>
          <w:highlight w:val="none"/>
        </w:rPr>
        <w:t>提出</w:t>
      </w:r>
      <w:r>
        <w:rPr>
          <w:rFonts w:hint="eastAsia" w:ascii="Times New Roman" w:hAnsi="Times New Roman" w:eastAsia="仿宋" w:cs="Times New Roman"/>
          <w:sz w:val="28"/>
          <w:szCs w:val="28"/>
          <w:highlight w:val="none"/>
          <w:lang w:eastAsia="zh-CN"/>
        </w:rPr>
        <w:t>配额方案</w:t>
      </w:r>
      <w:r>
        <w:rPr>
          <w:rFonts w:hint="eastAsia" w:ascii="Times New Roman" w:hAnsi="Times New Roman" w:eastAsia="仿宋" w:cs="Times New Roman"/>
          <w:sz w:val="28"/>
          <w:szCs w:val="28"/>
          <w:highlight w:val="none"/>
        </w:rPr>
        <w:t>优化建议；</w:t>
      </w:r>
      <w:r>
        <w:rPr>
          <w:rFonts w:hint="eastAsia" w:ascii="Times New Roman" w:hAnsi="Times New Roman" w:eastAsia="仿宋" w:cs="Times New Roman"/>
          <w:sz w:val="28"/>
          <w:szCs w:val="28"/>
          <w:highlight w:val="none"/>
          <w:lang w:eastAsia="zh-CN"/>
        </w:rPr>
        <w:t>结合行业发展动态</w:t>
      </w:r>
      <w:r>
        <w:rPr>
          <w:rFonts w:hint="eastAsia" w:ascii="Times New Roman" w:hAnsi="Times New Roman" w:eastAsia="仿宋" w:cs="Times New Roman"/>
          <w:sz w:val="28"/>
          <w:szCs w:val="28"/>
          <w:highlight w:val="none"/>
        </w:rPr>
        <w:t>，</w:t>
      </w:r>
      <w:r>
        <w:rPr>
          <w:rFonts w:hint="eastAsia" w:ascii="Times New Roman" w:hAnsi="Times New Roman" w:eastAsia="仿宋" w:cs="Times New Roman"/>
          <w:sz w:val="28"/>
          <w:szCs w:val="28"/>
          <w:highlight w:val="none"/>
          <w:lang w:eastAsia="zh-CN"/>
        </w:rPr>
        <w:t>评估铝冶炼行业现行</w:t>
      </w:r>
      <w:r>
        <w:rPr>
          <w:rFonts w:hint="eastAsia" w:ascii="Times New Roman" w:hAnsi="Times New Roman" w:eastAsia="仿宋" w:cs="Times New Roman"/>
          <w:sz w:val="28"/>
          <w:szCs w:val="28"/>
          <w:highlight w:val="none"/>
          <w:lang w:val="en-US" w:eastAsia="zh-CN"/>
        </w:rPr>
        <w:t>MRV体系实施效果，提出遵循顶层设计方向下的</w:t>
      </w:r>
      <w:r>
        <w:rPr>
          <w:rFonts w:hint="eastAsia" w:ascii="Times New Roman" w:hAnsi="Times New Roman" w:eastAsia="仿宋" w:cs="Times New Roman"/>
          <w:sz w:val="28"/>
          <w:szCs w:val="28"/>
          <w:highlight w:val="none"/>
        </w:rPr>
        <w:t>MRV体系优化改进建议。</w:t>
      </w:r>
    </w:p>
    <w:p w14:paraId="543E09FE">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本任务需在PMO统一协调下，</w:t>
      </w:r>
      <w:r>
        <w:rPr>
          <w:rFonts w:hint="eastAsia" w:ascii="Times New Roman" w:hAnsi="Times New Roman" w:eastAsia="仿宋" w:cs="Times New Roman"/>
          <w:sz w:val="28"/>
          <w:szCs w:val="28"/>
          <w:highlight w:val="none"/>
          <w:lang w:eastAsia="zh-CN"/>
        </w:rPr>
        <w:t>与</w:t>
      </w:r>
      <w:r>
        <w:rPr>
          <w:rFonts w:hint="eastAsia" w:ascii="Times New Roman" w:hAnsi="Times New Roman" w:eastAsia="仿宋" w:cs="Times New Roman"/>
          <w:sz w:val="28"/>
          <w:szCs w:val="28"/>
          <w:highlight w:val="none"/>
        </w:rPr>
        <w:t>PMI-3</w:t>
      </w:r>
      <w:r>
        <w:rPr>
          <w:rStyle w:val="26"/>
          <w:rFonts w:hint="eastAsia" w:ascii="Times New Roman" w:hAnsi="Times New Roman" w:eastAsia="仿宋" w:cs="Times New Roman"/>
          <w:sz w:val="28"/>
          <w:szCs w:val="28"/>
          <w:highlight w:val="none"/>
        </w:rPr>
        <w:footnoteReference w:id="0"/>
      </w:r>
      <w:r>
        <w:rPr>
          <w:rFonts w:hint="eastAsia" w:ascii="Times New Roman" w:hAnsi="Times New Roman" w:eastAsia="仿宋" w:cs="Times New Roman"/>
          <w:sz w:val="28"/>
          <w:szCs w:val="28"/>
          <w:highlight w:val="none"/>
        </w:rPr>
        <w:t>、PMI-4</w:t>
      </w:r>
      <w:r>
        <w:rPr>
          <w:rStyle w:val="26"/>
          <w:rFonts w:hint="eastAsia" w:ascii="Times New Roman" w:hAnsi="Times New Roman" w:eastAsia="仿宋" w:cs="Times New Roman"/>
          <w:sz w:val="28"/>
          <w:szCs w:val="28"/>
          <w:highlight w:val="none"/>
        </w:rPr>
        <w:footnoteReference w:id="1"/>
      </w:r>
      <w:r>
        <w:rPr>
          <w:rFonts w:hint="eastAsia" w:ascii="Times New Roman" w:hAnsi="Times New Roman" w:eastAsia="仿宋" w:cs="Times New Roman"/>
          <w:sz w:val="28"/>
          <w:szCs w:val="28"/>
          <w:highlight w:val="none"/>
        </w:rPr>
        <w:t>及PMI-17</w:t>
      </w:r>
      <w:r>
        <w:rPr>
          <w:rStyle w:val="26"/>
          <w:rFonts w:hint="eastAsia" w:ascii="Times New Roman" w:hAnsi="Times New Roman" w:eastAsia="仿宋" w:cs="Times New Roman"/>
          <w:sz w:val="28"/>
          <w:szCs w:val="28"/>
          <w:highlight w:val="none"/>
        </w:rPr>
        <w:footnoteReference w:id="2"/>
      </w:r>
      <w:r>
        <w:rPr>
          <w:rFonts w:hint="eastAsia" w:ascii="Times New Roman" w:hAnsi="Times New Roman" w:eastAsia="仿宋" w:cs="Times New Roman"/>
          <w:sz w:val="28"/>
          <w:szCs w:val="28"/>
          <w:highlight w:val="none"/>
        </w:rPr>
        <w:t>的</w:t>
      </w:r>
      <w:r>
        <w:rPr>
          <w:rFonts w:hint="eastAsia" w:ascii="Times New Roman" w:hAnsi="Times New Roman" w:eastAsia="仿宋" w:cs="Times New Roman"/>
          <w:sz w:val="28"/>
          <w:szCs w:val="28"/>
          <w:highlight w:val="none"/>
          <w:lang w:eastAsia="zh-CN"/>
        </w:rPr>
        <w:t>等其他分包任务承担单位保持技术协作与信息共享，确保研究成果的系统性与一致性</w:t>
      </w:r>
      <w:r>
        <w:rPr>
          <w:rFonts w:hint="eastAsia" w:ascii="Times New Roman" w:hAnsi="Times New Roman" w:eastAsia="仿宋" w:cs="Times New Roman"/>
          <w:sz w:val="28"/>
          <w:szCs w:val="28"/>
          <w:highlight w:val="none"/>
        </w:rPr>
        <w:t>。</w:t>
      </w:r>
    </w:p>
    <w:p w14:paraId="543E09FF">
      <w:pPr>
        <w:ind w:firstLine="562" w:firstLineChars="200"/>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lang w:eastAsia="zh-CN"/>
        </w:rPr>
        <w:t>3</w:t>
      </w:r>
      <w:r>
        <w:rPr>
          <w:rFonts w:hint="eastAsia" w:ascii="Times New Roman" w:hAnsi="Times New Roman" w:eastAsia="仿宋" w:cs="Times New Roman"/>
          <w:b/>
          <w:bCs/>
          <w:sz w:val="28"/>
          <w:szCs w:val="28"/>
          <w:highlight w:val="none"/>
          <w:lang w:val="en-US" w:eastAsia="zh-CN"/>
        </w:rPr>
        <w:t xml:space="preserve">.2 </w:t>
      </w:r>
      <w:r>
        <w:rPr>
          <w:rFonts w:hint="eastAsia" w:ascii="Times New Roman" w:hAnsi="Times New Roman" w:eastAsia="仿宋" w:cs="Times New Roman"/>
          <w:b/>
          <w:bCs/>
          <w:sz w:val="28"/>
          <w:szCs w:val="28"/>
          <w:highlight w:val="none"/>
        </w:rPr>
        <w:t>任务要求描述</w:t>
      </w:r>
    </w:p>
    <w:p w14:paraId="543E0A00">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lang w:val="en-US" w:eastAsia="zh-CN"/>
        </w:rPr>
        <w:t xml:space="preserve">3.2.1 </w:t>
      </w:r>
      <w:r>
        <w:rPr>
          <w:rFonts w:hint="eastAsia" w:ascii="Times New Roman" w:hAnsi="Times New Roman" w:eastAsia="仿宋" w:cs="Times New Roman"/>
          <w:sz w:val="28"/>
          <w:szCs w:val="28"/>
          <w:highlight w:val="none"/>
        </w:rPr>
        <w:t>铝冶炼行业发展动态与诉求调研</w:t>
      </w:r>
    </w:p>
    <w:p w14:paraId="61B239EB">
      <w:pPr>
        <w:ind w:firstLine="560" w:firstLineChars="200"/>
        <w:rPr>
          <w:rFonts w:hint="eastAsia"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本项任务旨在通过文献研究、调研访谈等方式，系统了解铝冶炼行业在配额管理及MRV实施方面的实际运行情况和企业需求，借鉴国际先进经验，形成《铝冶炼行业配额管理及MRV需求分析报告》，为后续配额优化和MRV改进提供实证基础和国际参照。内容包括但不限于：</w:t>
      </w:r>
    </w:p>
    <w:p w14:paraId="27F260E5">
      <w:pPr>
        <w:ind w:firstLine="560" w:firstLineChars="200"/>
        <w:rPr>
          <w:rFonts w:hint="eastAsia" w:ascii="Times New Roman" w:hAnsi="Times New Roman" w:eastAsia="仿宋" w:cs="Times New Roman"/>
          <w:sz w:val="28"/>
          <w:szCs w:val="28"/>
          <w:highlight w:val="none"/>
          <w:lang w:val="en-US" w:eastAsia="zh-CN"/>
        </w:rPr>
      </w:pPr>
      <w:r>
        <w:rPr>
          <w:rFonts w:hint="eastAsia" w:ascii="Times New Roman" w:hAnsi="Times New Roman" w:eastAsia="仿宋" w:cs="Times New Roman"/>
          <w:sz w:val="28"/>
          <w:szCs w:val="28"/>
          <w:highlight w:val="none"/>
          <w:lang w:val="en-US" w:eastAsia="zh-CN"/>
        </w:rPr>
        <w:t xml:space="preserve">a. </w:t>
      </w:r>
      <w:r>
        <w:rPr>
          <w:rFonts w:hint="eastAsia" w:ascii="Times New Roman" w:hAnsi="Times New Roman" w:eastAsia="仿宋" w:cs="Times New Roman"/>
          <w:sz w:val="28"/>
          <w:szCs w:val="28"/>
          <w:highlight w:val="none"/>
        </w:rPr>
        <w:t>国际</w:t>
      </w:r>
      <w:r>
        <w:rPr>
          <w:rFonts w:hint="eastAsia" w:ascii="Times New Roman" w:hAnsi="Times New Roman" w:eastAsia="仿宋" w:cs="Times New Roman"/>
          <w:sz w:val="28"/>
          <w:szCs w:val="28"/>
          <w:highlight w:val="none"/>
          <w:lang w:eastAsia="zh-CN"/>
        </w:rPr>
        <w:t>国内</w:t>
      </w:r>
      <w:r>
        <w:rPr>
          <w:rFonts w:hint="eastAsia" w:ascii="Times New Roman" w:hAnsi="Times New Roman" w:eastAsia="仿宋" w:cs="Times New Roman"/>
          <w:sz w:val="28"/>
          <w:szCs w:val="28"/>
          <w:highlight w:val="none"/>
        </w:rPr>
        <w:t>经验对比分析：研究国际主要碳市场（如欧盟ETS、美国加州ETS、英国ETS、韩国ETS等）铝冶炼行业在配额管理（总量控制、有偿分配、基准值设定、拍卖收入使用等）及MRV体系（核算方法、数据质量控制、连续监测系统应用、核查机制等）方面的制度设计与实践经验，评估我国</w:t>
      </w:r>
      <w:r>
        <w:rPr>
          <w:rFonts w:hint="eastAsia" w:ascii="Times New Roman" w:hAnsi="Times New Roman" w:eastAsia="仿宋" w:cs="Times New Roman"/>
          <w:sz w:val="28"/>
          <w:szCs w:val="28"/>
          <w:highlight w:val="none"/>
          <w:lang w:eastAsia="zh-CN"/>
        </w:rPr>
        <w:t>铝冶炼行业</w:t>
      </w:r>
      <w:r>
        <w:rPr>
          <w:rFonts w:hint="eastAsia" w:ascii="Times New Roman" w:hAnsi="Times New Roman" w:eastAsia="仿宋" w:cs="Times New Roman"/>
          <w:sz w:val="28"/>
          <w:szCs w:val="28"/>
          <w:highlight w:val="none"/>
        </w:rPr>
        <w:t>现行</w:t>
      </w:r>
      <w:r>
        <w:rPr>
          <w:rFonts w:hint="eastAsia" w:ascii="Times New Roman" w:hAnsi="Times New Roman" w:eastAsia="仿宋" w:cs="Times New Roman"/>
          <w:sz w:val="28"/>
          <w:szCs w:val="28"/>
          <w:highlight w:val="none"/>
          <w:lang w:eastAsia="zh-CN"/>
        </w:rPr>
        <w:t>配额管理及</w:t>
      </w:r>
      <w:r>
        <w:rPr>
          <w:rFonts w:hint="eastAsia" w:ascii="Times New Roman" w:hAnsi="Times New Roman" w:eastAsia="仿宋" w:cs="Times New Roman"/>
          <w:sz w:val="28"/>
          <w:szCs w:val="28"/>
          <w:highlight w:val="none"/>
          <w:lang w:val="en-US" w:eastAsia="zh-CN"/>
        </w:rPr>
        <w:t>MRV</w:t>
      </w:r>
      <w:r>
        <w:rPr>
          <w:rFonts w:hint="eastAsia" w:ascii="Times New Roman" w:hAnsi="Times New Roman" w:eastAsia="仿宋" w:cs="Times New Roman"/>
          <w:sz w:val="28"/>
          <w:szCs w:val="28"/>
          <w:highlight w:val="none"/>
        </w:rPr>
        <w:t>体系与国际最佳实践的</w:t>
      </w:r>
      <w:r>
        <w:rPr>
          <w:rFonts w:hint="eastAsia" w:ascii="Times New Roman" w:hAnsi="Times New Roman" w:eastAsia="仿宋" w:cs="Times New Roman"/>
          <w:sz w:val="28"/>
          <w:szCs w:val="28"/>
          <w:highlight w:val="none"/>
          <w:lang w:eastAsia="zh-CN"/>
        </w:rPr>
        <w:t>差异</w:t>
      </w:r>
      <w:r>
        <w:rPr>
          <w:rFonts w:hint="eastAsia" w:ascii="Times New Roman" w:hAnsi="Times New Roman" w:eastAsia="仿宋" w:cs="Times New Roman"/>
          <w:sz w:val="28"/>
          <w:szCs w:val="28"/>
          <w:highlight w:val="none"/>
        </w:rPr>
        <w:t>与可借鉴之处。</w:t>
      </w:r>
    </w:p>
    <w:p w14:paraId="543E0A01">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lang w:eastAsia="zh-CN"/>
        </w:rPr>
        <w:t>b</w:t>
      </w:r>
      <w:r>
        <w:rPr>
          <w:rFonts w:hint="eastAsia" w:ascii="Times New Roman" w:hAnsi="Times New Roman" w:eastAsia="仿宋" w:cs="Times New Roman"/>
          <w:sz w:val="28"/>
          <w:szCs w:val="28"/>
          <w:highlight w:val="none"/>
        </w:rPr>
        <w:t>. 行业发展动态梳理：系统梳理铝冶炼行业参与碳排放权交易市场的现状与进程，分析碳排放权交易市场实施对行业运行的影响，重点关注</w:t>
      </w:r>
      <w:r>
        <w:rPr>
          <w:rFonts w:hint="eastAsia" w:ascii="Times New Roman" w:hAnsi="Times New Roman" w:eastAsia="仿宋" w:cs="Times New Roman"/>
          <w:sz w:val="28"/>
          <w:szCs w:val="28"/>
          <w:highlight w:val="none"/>
          <w:lang w:eastAsia="zh-CN"/>
        </w:rPr>
        <w:t>能耗</w:t>
      </w:r>
      <w:r>
        <w:rPr>
          <w:rFonts w:hint="eastAsia" w:ascii="Times New Roman" w:hAnsi="Times New Roman" w:eastAsia="仿宋" w:cs="Times New Roman"/>
          <w:sz w:val="28"/>
          <w:szCs w:val="28"/>
          <w:highlight w:val="none"/>
        </w:rPr>
        <w:t>结构</w:t>
      </w:r>
      <w:r>
        <w:rPr>
          <w:rFonts w:hint="eastAsia" w:ascii="Times New Roman" w:hAnsi="Times New Roman" w:eastAsia="仿宋" w:cs="Times New Roman"/>
          <w:sz w:val="28"/>
          <w:szCs w:val="28"/>
          <w:highlight w:val="none"/>
          <w:lang w:eastAsia="zh-CN"/>
        </w:rPr>
        <w:t>变化</w:t>
      </w:r>
      <w:r>
        <w:rPr>
          <w:rFonts w:hint="eastAsia" w:ascii="Times New Roman" w:hAnsi="Times New Roman" w:eastAsia="仿宋" w:cs="Times New Roman"/>
          <w:sz w:val="28"/>
          <w:szCs w:val="28"/>
          <w:highlight w:val="none"/>
        </w:rPr>
        <w:t>、工序排放</w:t>
      </w:r>
      <w:r>
        <w:rPr>
          <w:rFonts w:hint="eastAsia" w:ascii="Times New Roman" w:hAnsi="Times New Roman" w:eastAsia="仿宋" w:cs="Times New Roman"/>
          <w:sz w:val="28"/>
          <w:szCs w:val="28"/>
          <w:highlight w:val="none"/>
          <w:lang w:eastAsia="zh-CN"/>
        </w:rPr>
        <w:t>强度、配额盈亏</w:t>
      </w:r>
      <w:r>
        <w:rPr>
          <w:rFonts w:hint="eastAsia" w:ascii="Times New Roman" w:hAnsi="Times New Roman" w:eastAsia="仿宋" w:cs="Times New Roman"/>
          <w:sz w:val="28"/>
          <w:szCs w:val="28"/>
          <w:highlight w:val="none"/>
        </w:rPr>
        <w:t>等关键参数的变化趋势，为配额分配方案</w:t>
      </w:r>
      <w:r>
        <w:rPr>
          <w:rFonts w:hint="eastAsia" w:ascii="Times New Roman" w:hAnsi="Times New Roman" w:eastAsia="仿宋" w:cs="Times New Roman"/>
          <w:sz w:val="28"/>
          <w:szCs w:val="28"/>
          <w:highlight w:val="none"/>
          <w:lang w:eastAsia="zh-CN"/>
        </w:rPr>
        <w:t>参数的科学设定及</w:t>
      </w:r>
      <w:r>
        <w:rPr>
          <w:rFonts w:hint="eastAsia" w:ascii="Times New Roman" w:hAnsi="Times New Roman" w:eastAsia="仿宋" w:cs="Times New Roman"/>
          <w:sz w:val="28"/>
          <w:szCs w:val="28"/>
          <w:highlight w:val="none"/>
          <w:lang w:val="en-US" w:eastAsia="zh-CN"/>
        </w:rPr>
        <w:t>MRV体系</w:t>
      </w:r>
      <w:r>
        <w:rPr>
          <w:rFonts w:hint="eastAsia" w:ascii="Times New Roman" w:hAnsi="Times New Roman" w:eastAsia="仿宋" w:cs="Times New Roman"/>
          <w:sz w:val="28"/>
          <w:szCs w:val="28"/>
          <w:highlight w:val="none"/>
        </w:rPr>
        <w:t>优化</w:t>
      </w:r>
      <w:r>
        <w:rPr>
          <w:rFonts w:hint="eastAsia" w:ascii="Times New Roman" w:hAnsi="Times New Roman" w:eastAsia="仿宋" w:cs="Times New Roman"/>
          <w:sz w:val="28"/>
          <w:szCs w:val="28"/>
          <w:highlight w:val="none"/>
          <w:lang w:eastAsia="zh-CN"/>
        </w:rPr>
        <w:t>改进</w:t>
      </w:r>
      <w:r>
        <w:rPr>
          <w:rFonts w:hint="eastAsia" w:ascii="Times New Roman" w:hAnsi="Times New Roman" w:eastAsia="仿宋" w:cs="Times New Roman"/>
          <w:sz w:val="28"/>
          <w:szCs w:val="28"/>
          <w:highlight w:val="none"/>
        </w:rPr>
        <w:t>提供</w:t>
      </w:r>
      <w:r>
        <w:rPr>
          <w:rFonts w:hint="eastAsia" w:ascii="Times New Roman" w:hAnsi="Times New Roman" w:eastAsia="仿宋" w:cs="Times New Roman"/>
          <w:sz w:val="28"/>
          <w:szCs w:val="28"/>
          <w:highlight w:val="none"/>
          <w:lang w:eastAsia="zh-CN"/>
        </w:rPr>
        <w:t>行业</w:t>
      </w:r>
      <w:r>
        <w:rPr>
          <w:rFonts w:hint="eastAsia" w:ascii="Times New Roman" w:hAnsi="Times New Roman" w:eastAsia="仿宋" w:cs="Times New Roman"/>
          <w:sz w:val="28"/>
          <w:szCs w:val="28"/>
          <w:highlight w:val="none"/>
        </w:rPr>
        <w:t>支撑。</w:t>
      </w:r>
    </w:p>
    <w:p w14:paraId="543E0A02">
      <w:pPr>
        <w:pStyle w:val="2"/>
        <w:rPr>
          <w:rFonts w:ascii="Times New Roman" w:hAnsi="Times New Roman" w:eastAsia="仿宋"/>
          <w:sz w:val="28"/>
          <w:szCs w:val="28"/>
          <w:highlight w:val="none"/>
        </w:rPr>
      </w:pPr>
      <w:r>
        <w:rPr>
          <w:rFonts w:hint="eastAsia" w:eastAsia="仿宋"/>
          <w:sz w:val="28"/>
          <w:szCs w:val="28"/>
          <w:highlight w:val="none"/>
          <w:lang w:val="en-US" w:eastAsia="zh-CN"/>
        </w:rPr>
        <w:t>c</w:t>
      </w:r>
      <w:r>
        <w:rPr>
          <w:rFonts w:hint="eastAsia" w:ascii="Times New Roman" w:hAnsi="Times New Roman" w:eastAsia="仿宋"/>
          <w:sz w:val="28"/>
          <w:szCs w:val="28"/>
          <w:highlight w:val="none"/>
        </w:rPr>
        <w:t>. 企业</w:t>
      </w:r>
      <w:r>
        <w:rPr>
          <w:rFonts w:hint="eastAsia" w:eastAsia="仿宋"/>
          <w:sz w:val="28"/>
          <w:szCs w:val="28"/>
          <w:highlight w:val="none"/>
          <w:lang w:eastAsia="zh-CN"/>
        </w:rPr>
        <w:t>和主管部门</w:t>
      </w:r>
      <w:r>
        <w:rPr>
          <w:rFonts w:hint="eastAsia" w:ascii="Times New Roman" w:hAnsi="Times New Roman" w:eastAsia="仿宋"/>
          <w:sz w:val="28"/>
          <w:szCs w:val="28"/>
          <w:highlight w:val="none"/>
        </w:rPr>
        <w:t>诉求访谈：面向不同类型、规模</w:t>
      </w:r>
      <w:r>
        <w:rPr>
          <w:rFonts w:hint="eastAsia" w:eastAsia="仿宋"/>
          <w:sz w:val="28"/>
          <w:szCs w:val="28"/>
          <w:highlight w:val="none"/>
          <w:lang w:eastAsia="zh-CN"/>
        </w:rPr>
        <w:t>、工艺流程</w:t>
      </w:r>
      <w:r>
        <w:rPr>
          <w:rFonts w:hint="eastAsia" w:ascii="Times New Roman" w:hAnsi="Times New Roman" w:eastAsia="仿宋"/>
          <w:sz w:val="28"/>
          <w:szCs w:val="28"/>
          <w:highlight w:val="none"/>
        </w:rPr>
        <w:t>的铝冶炼企业（如预焙阳极工艺、不同电解槽型等），通过问卷调研与典型</w:t>
      </w:r>
      <w:r>
        <w:rPr>
          <w:rStyle w:val="25"/>
          <w:rFonts w:hint="eastAsia" w:eastAsia="仿宋"/>
          <w:sz w:val="28"/>
          <w:szCs w:val="28"/>
          <w:highlight w:val="none"/>
          <w:lang w:eastAsia="zh-CN"/>
        </w:rPr>
        <w:t>企业现场调研</w:t>
      </w:r>
      <w:r>
        <w:rPr>
          <w:rFonts w:hint="eastAsia" w:ascii="Times New Roman" w:hAnsi="Times New Roman" w:eastAsia="仿宋"/>
          <w:sz w:val="28"/>
          <w:szCs w:val="28"/>
          <w:highlight w:val="none"/>
        </w:rPr>
        <w:t>相结合的方式，</w:t>
      </w:r>
      <w:r>
        <w:rPr>
          <w:rFonts w:hint="eastAsia" w:eastAsia="仿宋"/>
          <w:sz w:val="28"/>
          <w:szCs w:val="28"/>
          <w:highlight w:val="none"/>
          <w:lang w:eastAsia="zh-CN"/>
        </w:rPr>
        <w:t>系统</w:t>
      </w:r>
      <w:r>
        <w:rPr>
          <w:rFonts w:hint="eastAsia" w:ascii="Times New Roman" w:hAnsi="Times New Roman" w:eastAsia="仿宋"/>
          <w:sz w:val="28"/>
          <w:szCs w:val="28"/>
          <w:highlight w:val="none"/>
        </w:rPr>
        <w:t>了解企业在配额分配</w:t>
      </w:r>
      <w:r>
        <w:rPr>
          <w:rFonts w:hint="eastAsia" w:eastAsia="仿宋"/>
          <w:sz w:val="28"/>
          <w:szCs w:val="28"/>
          <w:highlight w:val="none"/>
          <w:lang w:eastAsia="zh-CN"/>
        </w:rPr>
        <w:t>（如行业平衡值</w:t>
      </w:r>
      <w:r>
        <w:rPr>
          <w:rStyle w:val="26"/>
          <w:rFonts w:hint="eastAsia" w:eastAsia="仿宋"/>
          <w:sz w:val="28"/>
          <w:szCs w:val="28"/>
          <w:highlight w:val="none"/>
          <w:lang w:eastAsia="zh-CN"/>
        </w:rPr>
        <w:footnoteReference w:id="3"/>
      </w:r>
      <w:r>
        <w:rPr>
          <w:rFonts w:hint="eastAsia" w:eastAsia="仿宋"/>
          <w:sz w:val="28"/>
          <w:szCs w:val="28"/>
          <w:highlight w:val="none"/>
          <w:lang w:eastAsia="zh-CN"/>
        </w:rPr>
        <w:t>的合理性、履约负担、政策协同需求及对总量控制、有偿分配转型的认知与应对措施）方面的</w:t>
      </w:r>
      <w:r>
        <w:rPr>
          <w:rFonts w:hint="eastAsia" w:eastAsia="仿宋"/>
          <w:sz w:val="28"/>
          <w:szCs w:val="28"/>
          <w:highlight w:val="none"/>
        </w:rPr>
        <w:t>政策诉求</w:t>
      </w:r>
      <w:r>
        <w:rPr>
          <w:rFonts w:hint="eastAsia" w:eastAsia="仿宋"/>
          <w:sz w:val="28"/>
          <w:szCs w:val="28"/>
          <w:highlight w:val="none"/>
          <w:lang w:eastAsia="zh-CN"/>
        </w:rPr>
        <w:t>以及</w:t>
      </w:r>
      <w:r>
        <w:rPr>
          <w:rFonts w:ascii="Times New Roman" w:hAnsi="Times New Roman" w:eastAsia="仿宋" w:cs="Times New Roman"/>
          <w:sz w:val="28"/>
          <w:szCs w:val="28"/>
          <w:highlight w:val="none"/>
        </w:rPr>
        <w:t>MRV</w:t>
      </w:r>
      <w:r>
        <w:rPr>
          <w:rFonts w:hint="eastAsia" w:ascii="Times New Roman" w:hAnsi="Times New Roman" w:eastAsia="仿宋" w:cs="Times New Roman"/>
          <w:sz w:val="28"/>
          <w:szCs w:val="28"/>
          <w:highlight w:val="none"/>
        </w:rPr>
        <w:t>实施（如数据</w:t>
      </w:r>
      <w:r>
        <w:rPr>
          <w:rFonts w:hint="eastAsia" w:eastAsia="仿宋" w:cs="Times New Roman"/>
          <w:sz w:val="28"/>
          <w:szCs w:val="28"/>
          <w:highlight w:val="none"/>
          <w:lang w:eastAsia="zh-CN"/>
        </w:rPr>
        <w:t>监测</w:t>
      </w:r>
      <w:r>
        <w:rPr>
          <w:rFonts w:hint="eastAsia" w:ascii="Times New Roman" w:hAnsi="Times New Roman" w:eastAsia="仿宋" w:cs="Times New Roman"/>
          <w:sz w:val="28"/>
          <w:szCs w:val="28"/>
          <w:highlight w:val="none"/>
        </w:rPr>
        <w:t>规范性、</w:t>
      </w:r>
      <w:r>
        <w:rPr>
          <w:rFonts w:hint="eastAsia" w:eastAsia="仿宋" w:cs="Times New Roman"/>
          <w:sz w:val="28"/>
          <w:szCs w:val="28"/>
          <w:highlight w:val="none"/>
          <w:lang w:eastAsia="zh-CN"/>
        </w:rPr>
        <w:t>阳极含炭量实测质量、核查服务质量、含氟气体监测需求、</w:t>
      </w:r>
      <w:r>
        <w:rPr>
          <w:rFonts w:hint="eastAsia" w:ascii="Times New Roman" w:hAnsi="Times New Roman" w:eastAsia="仿宋" w:cs="Times New Roman"/>
          <w:sz w:val="28"/>
          <w:szCs w:val="28"/>
          <w:highlight w:val="none"/>
        </w:rPr>
        <w:t>新技术应用需求等）</w:t>
      </w:r>
      <w:r>
        <w:rPr>
          <w:rFonts w:hint="eastAsia" w:ascii="Times New Roman" w:hAnsi="Times New Roman" w:eastAsia="仿宋"/>
          <w:sz w:val="28"/>
          <w:szCs w:val="28"/>
          <w:highlight w:val="none"/>
        </w:rPr>
        <w:t>方面的实际困难</w:t>
      </w:r>
      <w:r>
        <w:rPr>
          <w:rFonts w:hint="eastAsia" w:eastAsia="仿宋"/>
          <w:sz w:val="28"/>
          <w:szCs w:val="28"/>
          <w:highlight w:val="none"/>
          <w:lang w:eastAsia="zh-CN"/>
        </w:rPr>
        <w:t>（承担单位应在项目建议书中明确提出拟调研的企业数量、选点依据及覆盖说明）</w:t>
      </w:r>
      <w:r>
        <w:rPr>
          <w:rFonts w:hint="eastAsia" w:ascii="Times New Roman" w:hAnsi="Times New Roman" w:eastAsia="仿宋"/>
          <w:sz w:val="28"/>
          <w:szCs w:val="28"/>
          <w:highlight w:val="none"/>
        </w:rPr>
        <w:t>。同时，面向国家及地方生态环境主管部门，通过专题座谈与调研访谈相结合的方式，</w:t>
      </w:r>
      <w:r>
        <w:rPr>
          <w:rFonts w:hint="eastAsia" w:eastAsia="仿宋"/>
          <w:sz w:val="28"/>
          <w:szCs w:val="28"/>
          <w:highlight w:val="none"/>
          <w:lang w:eastAsia="zh-CN"/>
        </w:rPr>
        <w:t>系统</w:t>
      </w:r>
      <w:r>
        <w:rPr>
          <w:rFonts w:hint="eastAsia" w:ascii="Times New Roman" w:hAnsi="Times New Roman" w:eastAsia="仿宋"/>
          <w:sz w:val="28"/>
          <w:szCs w:val="28"/>
          <w:highlight w:val="none"/>
        </w:rPr>
        <w:t>了解主管部门在配额分配方案制定、数据质量管理、核查机构监管等方面的实际运行经验与改进建议</w:t>
      </w:r>
      <w:r>
        <w:rPr>
          <w:rFonts w:hint="eastAsia" w:eastAsia="仿宋"/>
          <w:sz w:val="28"/>
          <w:szCs w:val="28"/>
          <w:highlight w:val="none"/>
          <w:lang w:eastAsia="zh-CN"/>
        </w:rPr>
        <w:t>，收集其对配额总量控制、有偿分配、</w:t>
      </w:r>
      <w:r>
        <w:rPr>
          <w:rFonts w:hint="eastAsia" w:eastAsia="仿宋"/>
          <w:sz w:val="28"/>
          <w:szCs w:val="28"/>
          <w:highlight w:val="none"/>
          <w:lang w:val="en-US" w:eastAsia="zh-CN"/>
        </w:rPr>
        <w:t>MRV体系优化等未来政策方向的意见与考量</w:t>
      </w:r>
      <w:r>
        <w:rPr>
          <w:rFonts w:hint="eastAsia" w:ascii="Times New Roman" w:hAnsi="Times New Roman" w:eastAsia="仿宋"/>
          <w:sz w:val="28"/>
          <w:szCs w:val="28"/>
          <w:highlight w:val="none"/>
        </w:rPr>
        <w:t>，形成铝冶炼行业配额管理及MRV需求分析报告。</w:t>
      </w:r>
    </w:p>
    <w:p w14:paraId="543E0A03">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lang w:eastAsia="zh-CN"/>
        </w:rPr>
        <w:t>3</w:t>
      </w:r>
      <w:r>
        <w:rPr>
          <w:rFonts w:hint="eastAsia" w:ascii="Times New Roman" w:hAnsi="Times New Roman" w:eastAsia="仿宋" w:cs="Times New Roman"/>
          <w:sz w:val="28"/>
          <w:szCs w:val="28"/>
          <w:highlight w:val="none"/>
          <w:lang w:val="en-US" w:eastAsia="zh-CN"/>
        </w:rPr>
        <w:t xml:space="preserve">.2.2 </w:t>
      </w:r>
      <w:r>
        <w:rPr>
          <w:rFonts w:hint="eastAsia" w:ascii="Times New Roman" w:hAnsi="Times New Roman" w:eastAsia="仿宋" w:cs="Times New Roman"/>
          <w:sz w:val="28"/>
          <w:szCs w:val="28"/>
          <w:highlight w:val="none"/>
        </w:rPr>
        <w:t>铝冶炼行业配额管理机制评估与优化研究</w:t>
      </w:r>
    </w:p>
    <w:p w14:paraId="35020B1C">
      <w:pPr>
        <w:ind w:firstLine="560" w:firstLineChars="200"/>
        <w:rPr>
          <w:rFonts w:hint="eastAsia"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本项任务旨在评估现行铝冶炼行业配额分配机制的实施效果，结合国际经验和全国碳市场顶层设计方向，在PMO统一协调下，充分考虑PMI-3分包承担单位的指导意见，提出配额方案优化建议，形成《铝冶炼行业配额管理制度优化建议报告》。内容包括但不限于：</w:t>
      </w:r>
    </w:p>
    <w:p w14:paraId="5728F771">
      <w:pPr>
        <w:ind w:firstLine="560" w:firstLineChars="200"/>
        <w:rPr>
          <w:rFonts w:hint="eastAsia" w:ascii="Times New Roman" w:hAnsi="Times New Roman" w:eastAsia="仿宋" w:cs="Times New Roman"/>
          <w:sz w:val="28"/>
          <w:szCs w:val="28"/>
          <w:highlight w:val="none"/>
          <w:lang w:eastAsia="zh-CN"/>
        </w:rPr>
      </w:pPr>
      <w:r>
        <w:rPr>
          <w:rFonts w:hint="eastAsia" w:ascii="Times New Roman" w:hAnsi="Times New Roman" w:eastAsia="仿宋" w:cs="Times New Roman"/>
          <w:sz w:val="28"/>
          <w:szCs w:val="28"/>
          <w:highlight w:val="none"/>
          <w:lang w:eastAsia="zh-CN"/>
        </w:rPr>
        <w:t>a</w:t>
      </w:r>
      <w:r>
        <w:rPr>
          <w:rFonts w:hint="eastAsia" w:ascii="Times New Roman" w:hAnsi="Times New Roman" w:eastAsia="仿宋" w:cs="Times New Roman"/>
          <w:sz w:val="28"/>
          <w:szCs w:val="28"/>
          <w:highlight w:val="none"/>
        </w:rPr>
        <w:t xml:space="preserve">. </w:t>
      </w:r>
      <w:r>
        <w:rPr>
          <w:rFonts w:hint="eastAsia" w:ascii="Times New Roman" w:hAnsi="Times New Roman" w:eastAsia="仿宋" w:cs="Times New Roman"/>
          <w:sz w:val="28"/>
          <w:szCs w:val="28"/>
          <w:highlight w:val="none"/>
          <w:lang w:eastAsia="zh-CN"/>
        </w:rPr>
        <w:t>总量控制与有偿分配方案研究</w:t>
      </w:r>
      <w:r>
        <w:rPr>
          <w:rFonts w:hint="eastAsia" w:ascii="Times New Roman" w:hAnsi="Times New Roman" w:eastAsia="仿宋" w:cs="Times New Roman"/>
          <w:sz w:val="28"/>
          <w:szCs w:val="28"/>
          <w:highlight w:val="none"/>
        </w:rPr>
        <w:t>：</w:t>
      </w:r>
      <w:r>
        <w:rPr>
          <w:rFonts w:hint="eastAsia" w:ascii="Times New Roman" w:hAnsi="Times New Roman" w:eastAsia="仿宋" w:cs="Times New Roman"/>
          <w:sz w:val="28"/>
          <w:szCs w:val="28"/>
          <w:highlight w:val="none"/>
          <w:lang w:eastAsia="zh-CN"/>
        </w:rPr>
        <w:t>研究铝冶炼行业引入绝对排放总量控制的实施可行性及对企业的影响，结合碳达峰碳中和目标及行业碳减排要求，研究提出关键时间节点的建议总量控制水平及相应控制轨迹。研究</w:t>
      </w:r>
      <w:r>
        <w:rPr>
          <w:rFonts w:hint="eastAsia" w:ascii="Times New Roman" w:hAnsi="Times New Roman" w:eastAsia="仿宋" w:cs="Times New Roman"/>
          <w:sz w:val="28"/>
          <w:szCs w:val="28"/>
          <w:highlight w:val="none"/>
        </w:rPr>
        <w:t>免费配额与拍卖配额的分配结构，评估设计差异化行业平衡值或基准参考值的可行性及对行业的影响。</w:t>
      </w:r>
    </w:p>
    <w:p w14:paraId="592BA399">
      <w:pPr>
        <w:ind w:firstLine="560" w:firstLineChars="200"/>
        <w:rPr>
          <w:rFonts w:hint="eastAsia"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lang w:eastAsia="zh-CN"/>
        </w:rPr>
        <w:t>b</w:t>
      </w:r>
      <w:r>
        <w:rPr>
          <w:rFonts w:hint="eastAsia" w:ascii="Times New Roman" w:hAnsi="Times New Roman" w:eastAsia="仿宋" w:cs="Times New Roman"/>
          <w:sz w:val="28"/>
          <w:szCs w:val="28"/>
          <w:highlight w:val="none"/>
        </w:rPr>
        <w:t xml:space="preserve"> 企业应对策略分析：分析配额总量控制和有偿分配方案施行后，不同类型铝冶炼企业的潜在应对策略，包括但不限于：提高能效、降低阳极消耗、优化电解槽操作参数、采用低碳技术、碳资产管理策略</w:t>
      </w:r>
      <w:r>
        <w:rPr>
          <w:rFonts w:hint="eastAsia" w:ascii="Times New Roman" w:hAnsi="Times New Roman" w:eastAsia="仿宋" w:cs="Times New Roman"/>
          <w:sz w:val="28"/>
          <w:szCs w:val="28"/>
          <w:highlight w:val="none"/>
          <w:lang w:eastAsia="zh-CN"/>
        </w:rPr>
        <w:t>、管理能力建设</w:t>
      </w:r>
      <w:r>
        <w:rPr>
          <w:rFonts w:hint="eastAsia" w:ascii="Times New Roman" w:hAnsi="Times New Roman" w:eastAsia="仿宋" w:cs="Times New Roman"/>
          <w:sz w:val="28"/>
          <w:szCs w:val="28"/>
          <w:highlight w:val="none"/>
        </w:rPr>
        <w:t>等。</w:t>
      </w:r>
    </w:p>
    <w:p w14:paraId="543E0A06">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lang w:val="en-US" w:eastAsia="zh-CN"/>
        </w:rPr>
        <w:t xml:space="preserve">c. </w:t>
      </w:r>
      <w:r>
        <w:rPr>
          <w:rFonts w:hint="eastAsia" w:ascii="Times New Roman" w:hAnsi="Times New Roman" w:eastAsia="仿宋" w:cs="Times New Roman"/>
          <w:sz w:val="28"/>
          <w:szCs w:val="28"/>
          <w:highlight w:val="none"/>
        </w:rPr>
        <w:t>配额</w:t>
      </w:r>
      <w:r>
        <w:rPr>
          <w:rFonts w:hint="eastAsia" w:ascii="Times New Roman" w:hAnsi="Times New Roman" w:eastAsia="仿宋" w:cs="Times New Roman"/>
          <w:sz w:val="28"/>
          <w:szCs w:val="28"/>
          <w:highlight w:val="none"/>
          <w:lang w:eastAsia="zh-CN"/>
        </w:rPr>
        <w:t>方案</w:t>
      </w:r>
      <w:r>
        <w:rPr>
          <w:rFonts w:hint="eastAsia" w:ascii="Times New Roman" w:hAnsi="Times New Roman" w:eastAsia="仿宋" w:cs="Times New Roman"/>
          <w:sz w:val="28"/>
          <w:szCs w:val="28"/>
          <w:highlight w:val="none"/>
        </w:rPr>
        <w:t>优化建议：</w:t>
      </w:r>
      <w:r>
        <w:rPr>
          <w:rFonts w:hint="eastAsia" w:ascii="Times New Roman" w:hAnsi="Times New Roman" w:eastAsia="仿宋" w:cs="Times New Roman"/>
          <w:sz w:val="28"/>
          <w:szCs w:val="28"/>
          <w:highlight w:val="none"/>
          <w:lang w:eastAsia="zh-CN"/>
        </w:rPr>
        <w:t>综合上述研究，</w:t>
      </w:r>
      <w:r>
        <w:rPr>
          <w:rFonts w:hint="eastAsia" w:ascii="Times New Roman" w:hAnsi="Times New Roman" w:eastAsia="仿宋" w:cs="Times New Roman"/>
          <w:sz w:val="28"/>
          <w:szCs w:val="28"/>
          <w:highlight w:val="none"/>
        </w:rPr>
        <w:t>提出铝冶炼行业配额分配方案的</w:t>
      </w:r>
      <w:r>
        <w:rPr>
          <w:rFonts w:hint="eastAsia" w:ascii="Times New Roman" w:hAnsi="Times New Roman" w:eastAsia="仿宋" w:cs="Times New Roman"/>
          <w:sz w:val="28"/>
          <w:szCs w:val="28"/>
          <w:highlight w:val="none"/>
          <w:lang w:eastAsia="zh-CN"/>
        </w:rPr>
        <w:t>整体优化</w:t>
      </w:r>
      <w:r>
        <w:rPr>
          <w:rFonts w:hint="eastAsia" w:ascii="Times New Roman" w:hAnsi="Times New Roman" w:eastAsia="仿宋" w:cs="Times New Roman"/>
          <w:sz w:val="28"/>
          <w:szCs w:val="28"/>
          <w:highlight w:val="none"/>
        </w:rPr>
        <w:t>建议。同时，配合PMO参与配额管理相关交流会，就行业政策动向、行业发展现状及最新动态开展深入交流。</w:t>
      </w:r>
    </w:p>
    <w:p w14:paraId="543E0A07">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lang w:eastAsia="zh-CN"/>
        </w:rPr>
        <w:t>3</w:t>
      </w:r>
      <w:r>
        <w:rPr>
          <w:rFonts w:hint="eastAsia" w:ascii="Times New Roman" w:hAnsi="Times New Roman" w:eastAsia="仿宋" w:cs="Times New Roman"/>
          <w:sz w:val="28"/>
          <w:szCs w:val="28"/>
          <w:highlight w:val="none"/>
          <w:lang w:val="en-US" w:eastAsia="zh-CN"/>
        </w:rPr>
        <w:t xml:space="preserve">.2.3 </w:t>
      </w:r>
      <w:r>
        <w:rPr>
          <w:rFonts w:hint="eastAsia" w:ascii="Times New Roman" w:hAnsi="Times New Roman" w:eastAsia="仿宋" w:cs="Times New Roman"/>
          <w:sz w:val="28"/>
          <w:szCs w:val="28"/>
          <w:highlight w:val="none"/>
        </w:rPr>
        <w:t>铝冶炼行业MRV体系优化研究</w:t>
      </w:r>
    </w:p>
    <w:p w14:paraId="5E995BBF">
      <w:pPr>
        <w:ind w:firstLine="560" w:firstLineChars="200"/>
        <w:rPr>
          <w:rFonts w:hint="eastAsia"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本项任务旨在系统诊断铝冶炼行业MRV体系运行中的主要难点，</w:t>
      </w:r>
      <w:r>
        <w:rPr>
          <w:rFonts w:hint="eastAsia" w:ascii="Times New Roman" w:hAnsi="Times New Roman" w:eastAsia="仿宋" w:cs="Times New Roman"/>
          <w:sz w:val="28"/>
          <w:szCs w:val="28"/>
          <w:highlight w:val="none"/>
          <w:lang w:eastAsia="zh-CN"/>
        </w:rPr>
        <w:t>在</w:t>
      </w:r>
      <w:r>
        <w:rPr>
          <w:rFonts w:hint="default" w:ascii="Times New Roman" w:hAnsi="Times New Roman" w:eastAsia="仿宋" w:cs="Times New Roman"/>
          <w:sz w:val="28"/>
          <w:szCs w:val="28"/>
          <w:highlight w:val="none"/>
        </w:rPr>
        <w:t>PMO的统一协调下，综合考虑</w:t>
      </w:r>
      <w:r>
        <w:rPr>
          <w:rFonts w:ascii="Times New Roman" w:hAnsi="Times New Roman" w:eastAsia="仿宋" w:cs="Times New Roman"/>
          <w:sz w:val="28"/>
          <w:szCs w:val="28"/>
          <w:highlight w:val="none"/>
        </w:rPr>
        <w:t>PMI-4及PMI-17</w:t>
      </w:r>
      <w:r>
        <w:rPr>
          <w:rFonts w:hint="default" w:ascii="Times New Roman" w:hAnsi="Times New Roman" w:eastAsia="仿宋" w:cs="Times New Roman"/>
          <w:sz w:val="28"/>
          <w:szCs w:val="28"/>
          <w:highlight w:val="none"/>
        </w:rPr>
        <w:t>分包承担单位的指导意见</w:t>
      </w:r>
      <w:r>
        <w:rPr>
          <w:rFonts w:hint="eastAsia" w:ascii="Times New Roman" w:hAnsi="Times New Roman" w:eastAsia="仿宋" w:cs="Times New Roman"/>
          <w:sz w:val="28"/>
          <w:szCs w:val="28"/>
          <w:highlight w:val="none"/>
          <w:lang w:eastAsia="zh-CN"/>
        </w:rPr>
        <w:t>，</w:t>
      </w:r>
      <w:r>
        <w:rPr>
          <w:rFonts w:hint="eastAsia" w:ascii="Times New Roman" w:hAnsi="Times New Roman" w:eastAsia="仿宋" w:cs="Times New Roman"/>
          <w:sz w:val="28"/>
          <w:szCs w:val="28"/>
          <w:highlight w:val="none"/>
        </w:rPr>
        <w:t>借鉴国际经验，提出优化</w:t>
      </w:r>
      <w:r>
        <w:rPr>
          <w:rFonts w:hint="eastAsia" w:ascii="Times New Roman" w:hAnsi="Times New Roman" w:eastAsia="仿宋" w:cs="Times New Roman"/>
          <w:sz w:val="28"/>
          <w:szCs w:val="28"/>
          <w:highlight w:val="none"/>
          <w:lang w:eastAsia="zh-CN"/>
        </w:rPr>
        <w:t>改进</w:t>
      </w:r>
      <w:r>
        <w:rPr>
          <w:rFonts w:hint="eastAsia" w:ascii="Times New Roman" w:hAnsi="Times New Roman" w:eastAsia="仿宋" w:cs="Times New Roman"/>
          <w:sz w:val="28"/>
          <w:szCs w:val="28"/>
          <w:highlight w:val="none"/>
        </w:rPr>
        <w:t>建议，形成《铝冶炼行业MRV体系改进建议报告》。内容包括但不限于：</w:t>
      </w:r>
    </w:p>
    <w:p w14:paraId="543E0A08">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a. 碳排放核算难点诊断：系统梳理</w:t>
      </w:r>
      <w:r>
        <w:rPr>
          <w:rFonts w:hint="eastAsia" w:ascii="Times New Roman" w:hAnsi="Times New Roman" w:eastAsia="仿宋" w:cs="Times New Roman"/>
          <w:sz w:val="28"/>
          <w:szCs w:val="28"/>
          <w:highlight w:val="none"/>
          <w:lang w:eastAsia="zh-CN"/>
        </w:rPr>
        <w:t>铝冶炼行业现行技术指南</w:t>
      </w:r>
      <w:r>
        <w:rPr>
          <w:rFonts w:hint="eastAsia" w:ascii="Times New Roman" w:hAnsi="Times New Roman" w:eastAsia="仿宋" w:cs="Times New Roman"/>
          <w:sz w:val="28"/>
          <w:szCs w:val="28"/>
          <w:highlight w:val="none"/>
        </w:rPr>
        <w:t>在实际执行中的主要难点，包括但不限于：核算边界</w:t>
      </w:r>
      <w:r>
        <w:rPr>
          <w:rFonts w:hint="eastAsia" w:ascii="Times New Roman" w:hAnsi="Times New Roman" w:eastAsia="仿宋" w:cs="Times New Roman"/>
          <w:sz w:val="28"/>
          <w:szCs w:val="28"/>
          <w:highlight w:val="none"/>
          <w:lang w:eastAsia="zh-CN"/>
        </w:rPr>
        <w:t>的清晰度</w:t>
      </w:r>
      <w:r>
        <w:rPr>
          <w:rFonts w:hint="eastAsia" w:ascii="Times New Roman" w:hAnsi="Times New Roman" w:eastAsia="仿宋" w:cs="Times New Roman"/>
          <w:sz w:val="28"/>
          <w:szCs w:val="28"/>
          <w:highlight w:val="none"/>
        </w:rPr>
        <w:t>、燃料燃烧排放核算、PFC排放核算、碳酸盐分解排放核算、间接排放核算等。针对铝冶炼行业特有的电解工艺与阳极效应等环节，识别其核算数据不确定性来源及偏差成因。</w:t>
      </w:r>
      <w:r>
        <w:rPr>
          <w:rFonts w:hint="eastAsia" w:ascii="Times New Roman" w:hAnsi="Times New Roman" w:eastAsia="仿宋" w:cs="Times New Roman"/>
          <w:sz w:val="28"/>
          <w:szCs w:val="28"/>
          <w:highlight w:val="none"/>
          <w:lang w:eastAsia="zh-CN"/>
        </w:rPr>
        <w:t>研究</w:t>
      </w:r>
      <w:r>
        <w:rPr>
          <w:rFonts w:hint="eastAsia" w:ascii="Times New Roman" w:hAnsi="Times New Roman" w:eastAsia="仿宋" w:cs="Times New Roman"/>
          <w:sz w:val="28"/>
          <w:szCs w:val="28"/>
          <w:highlight w:val="none"/>
        </w:rPr>
        <w:t>应兼顾企业执行层面和第三方核查机构在实际操作中遇到的共性问题。</w:t>
      </w:r>
    </w:p>
    <w:p w14:paraId="543E0A09">
      <w:pPr>
        <w:pStyle w:val="2"/>
        <w:rPr>
          <w:rFonts w:ascii="Times New Roman" w:hAnsi="Times New Roman" w:eastAsia="仿宋"/>
          <w:sz w:val="28"/>
          <w:szCs w:val="28"/>
          <w:highlight w:val="none"/>
        </w:rPr>
      </w:pPr>
      <w:r>
        <w:rPr>
          <w:rFonts w:hint="eastAsia" w:ascii="Times New Roman" w:hAnsi="Times New Roman" w:eastAsia="仿宋"/>
          <w:sz w:val="28"/>
          <w:szCs w:val="28"/>
          <w:highlight w:val="none"/>
        </w:rPr>
        <w:t>b. 数据质量控制与</w:t>
      </w:r>
      <w:r>
        <w:rPr>
          <w:rFonts w:hint="eastAsia" w:eastAsia="仿宋"/>
          <w:sz w:val="28"/>
          <w:szCs w:val="28"/>
          <w:highlight w:val="none"/>
          <w:lang w:eastAsia="zh-CN"/>
        </w:rPr>
        <w:t>创</w:t>
      </w:r>
      <w:r>
        <w:rPr>
          <w:rFonts w:hint="eastAsia" w:ascii="Times New Roman" w:hAnsi="Times New Roman" w:eastAsia="仿宋"/>
          <w:sz w:val="28"/>
          <w:szCs w:val="28"/>
          <w:highlight w:val="none"/>
        </w:rPr>
        <w:t>新技术应用研究：</w:t>
      </w:r>
      <w:r>
        <w:rPr>
          <w:rFonts w:hint="eastAsia" w:eastAsia="仿宋"/>
          <w:sz w:val="28"/>
          <w:szCs w:val="28"/>
          <w:highlight w:val="none"/>
          <w:lang w:eastAsia="zh-CN"/>
        </w:rPr>
        <w:t>梳理分析</w:t>
      </w:r>
      <w:r>
        <w:rPr>
          <w:rFonts w:hint="eastAsia" w:ascii="Times New Roman" w:hAnsi="Times New Roman" w:eastAsia="仿宋"/>
          <w:sz w:val="28"/>
          <w:szCs w:val="28"/>
          <w:highlight w:val="none"/>
        </w:rPr>
        <w:t>铝冶炼行业</w:t>
      </w:r>
      <w:r>
        <w:rPr>
          <w:rFonts w:hint="eastAsia" w:eastAsia="仿宋"/>
          <w:sz w:val="28"/>
          <w:szCs w:val="28"/>
          <w:highlight w:val="none"/>
          <w:lang w:eastAsia="zh-CN"/>
        </w:rPr>
        <w:t>碳排放</w:t>
      </w:r>
      <w:r>
        <w:rPr>
          <w:rFonts w:hint="eastAsia" w:ascii="Times New Roman" w:hAnsi="Times New Roman" w:eastAsia="仿宋"/>
          <w:sz w:val="28"/>
          <w:szCs w:val="28"/>
          <w:highlight w:val="none"/>
        </w:rPr>
        <w:t>数据质量控制</w:t>
      </w:r>
      <w:r>
        <w:rPr>
          <w:rFonts w:hint="eastAsia" w:eastAsia="仿宋"/>
          <w:sz w:val="28"/>
          <w:szCs w:val="28"/>
          <w:highlight w:val="none"/>
          <w:lang w:eastAsia="zh-CN"/>
        </w:rPr>
        <w:t>的实施情况</w:t>
      </w:r>
      <w:r>
        <w:rPr>
          <w:rFonts w:hint="eastAsia" w:ascii="Times New Roman" w:hAnsi="Times New Roman" w:eastAsia="仿宋"/>
          <w:sz w:val="28"/>
          <w:szCs w:val="28"/>
          <w:highlight w:val="none"/>
        </w:rPr>
        <w:t>，包括</w:t>
      </w:r>
      <w:r>
        <w:rPr>
          <w:rFonts w:hint="eastAsia" w:eastAsia="仿宋"/>
          <w:sz w:val="28"/>
          <w:szCs w:val="28"/>
          <w:highlight w:val="none"/>
          <w:lang w:eastAsia="zh-CN"/>
        </w:rPr>
        <w:t>燃料</w:t>
      </w:r>
      <w:r>
        <w:rPr>
          <w:rFonts w:hint="eastAsia" w:ascii="Times New Roman" w:hAnsi="Times New Roman" w:eastAsia="仿宋"/>
          <w:sz w:val="28"/>
          <w:szCs w:val="28"/>
          <w:highlight w:val="none"/>
        </w:rPr>
        <w:t>实测覆盖范围、计量器具配备与管理、实验室检测分析能力及数据报送质量现状</w:t>
      </w:r>
      <w:r>
        <w:rPr>
          <w:rFonts w:hint="eastAsia" w:eastAsia="仿宋"/>
          <w:sz w:val="28"/>
          <w:szCs w:val="28"/>
          <w:highlight w:val="none"/>
          <w:lang w:eastAsia="zh-CN"/>
        </w:rPr>
        <w:t>等，评估现行数据质量管理体系与全国碳市场要求的差距</w:t>
      </w:r>
      <w:r>
        <w:rPr>
          <w:rFonts w:hint="eastAsia" w:ascii="Times New Roman" w:hAnsi="Times New Roman" w:eastAsia="仿宋"/>
          <w:sz w:val="28"/>
          <w:szCs w:val="28"/>
          <w:highlight w:val="none"/>
        </w:rPr>
        <w:t>。</w:t>
      </w:r>
      <w:r>
        <w:rPr>
          <w:rFonts w:hint="eastAsia" w:eastAsia="仿宋"/>
          <w:sz w:val="28"/>
          <w:szCs w:val="28"/>
          <w:highlight w:val="none"/>
          <w:lang w:eastAsia="zh-CN"/>
        </w:rPr>
        <w:t>同时，梳理分析国内外</w:t>
      </w:r>
      <w:r>
        <w:rPr>
          <w:rFonts w:hint="eastAsia" w:ascii="Times New Roman" w:hAnsi="Times New Roman" w:eastAsia="仿宋"/>
          <w:sz w:val="28"/>
          <w:szCs w:val="28"/>
          <w:highlight w:val="none"/>
        </w:rPr>
        <w:t>铝冶炼行业碳排放数据管理相关</w:t>
      </w:r>
      <w:r>
        <w:rPr>
          <w:rFonts w:hint="eastAsia" w:eastAsia="仿宋"/>
          <w:sz w:val="28"/>
          <w:szCs w:val="28"/>
          <w:highlight w:val="none"/>
          <w:lang w:eastAsia="zh-CN"/>
        </w:rPr>
        <w:t>创</w:t>
      </w:r>
      <w:r>
        <w:rPr>
          <w:rFonts w:hint="eastAsia" w:ascii="Times New Roman" w:hAnsi="Times New Roman" w:eastAsia="仿宋"/>
          <w:sz w:val="28"/>
          <w:szCs w:val="28"/>
          <w:highlight w:val="none"/>
        </w:rPr>
        <w:t>新技术应用情况，</w:t>
      </w:r>
      <w:r>
        <w:rPr>
          <w:rFonts w:hint="eastAsia" w:eastAsia="仿宋"/>
          <w:sz w:val="28"/>
          <w:szCs w:val="28"/>
          <w:highlight w:val="none"/>
          <w:lang w:eastAsia="zh-CN"/>
        </w:rPr>
        <w:t>例如：连续</w:t>
      </w:r>
      <w:r>
        <w:rPr>
          <w:rFonts w:hint="eastAsia" w:ascii="Times New Roman" w:hAnsi="Times New Roman" w:eastAsia="仿宋"/>
          <w:sz w:val="28"/>
          <w:szCs w:val="28"/>
          <w:highlight w:val="none"/>
        </w:rPr>
        <w:t>在线</w:t>
      </w:r>
      <w:r>
        <w:rPr>
          <w:rFonts w:hint="eastAsia" w:eastAsia="仿宋"/>
          <w:sz w:val="28"/>
          <w:szCs w:val="28"/>
          <w:highlight w:val="none"/>
          <w:lang w:eastAsia="zh-CN"/>
        </w:rPr>
        <w:t>监测</w:t>
      </w:r>
      <w:r>
        <w:rPr>
          <w:rFonts w:hint="eastAsia" w:ascii="Times New Roman" w:hAnsi="Times New Roman" w:eastAsia="仿宋"/>
          <w:sz w:val="28"/>
          <w:szCs w:val="28"/>
          <w:highlight w:val="none"/>
        </w:rPr>
        <w:t>技术、智能核算系统、AI辅助</w:t>
      </w:r>
      <w:r>
        <w:rPr>
          <w:rFonts w:hint="eastAsia" w:eastAsia="仿宋"/>
          <w:sz w:val="28"/>
          <w:szCs w:val="28"/>
          <w:highlight w:val="none"/>
          <w:lang w:eastAsia="zh-CN"/>
        </w:rPr>
        <w:t>数据质量分析、区块链数据存证</w:t>
      </w:r>
      <w:r>
        <w:rPr>
          <w:rFonts w:hint="eastAsia" w:ascii="Times New Roman" w:hAnsi="Times New Roman" w:eastAsia="仿宋"/>
          <w:sz w:val="28"/>
          <w:szCs w:val="28"/>
          <w:highlight w:val="none"/>
        </w:rPr>
        <w:t>，评估</w:t>
      </w:r>
      <w:r>
        <w:rPr>
          <w:rFonts w:hint="eastAsia" w:eastAsia="仿宋"/>
          <w:sz w:val="28"/>
          <w:szCs w:val="28"/>
          <w:highlight w:val="none"/>
          <w:lang w:eastAsia="zh-CN"/>
        </w:rPr>
        <w:t>创新</w:t>
      </w:r>
      <w:r>
        <w:rPr>
          <w:rFonts w:hint="eastAsia" w:ascii="Times New Roman" w:hAnsi="Times New Roman" w:eastAsia="仿宋"/>
          <w:sz w:val="28"/>
          <w:szCs w:val="28"/>
          <w:highlight w:val="none"/>
        </w:rPr>
        <w:t>技术成熟度</w:t>
      </w:r>
      <w:r>
        <w:rPr>
          <w:rFonts w:hint="eastAsia" w:eastAsia="仿宋"/>
          <w:sz w:val="28"/>
          <w:szCs w:val="28"/>
          <w:highlight w:val="none"/>
          <w:lang w:eastAsia="zh-CN"/>
        </w:rPr>
        <w:t>、</w:t>
      </w:r>
      <w:r>
        <w:rPr>
          <w:rFonts w:hint="eastAsia" w:ascii="Times New Roman" w:hAnsi="Times New Roman" w:eastAsia="仿宋"/>
          <w:sz w:val="28"/>
          <w:szCs w:val="28"/>
          <w:highlight w:val="none"/>
        </w:rPr>
        <w:t>应用效果</w:t>
      </w:r>
      <w:r>
        <w:rPr>
          <w:rFonts w:hint="eastAsia" w:eastAsia="仿宋"/>
          <w:sz w:val="28"/>
          <w:szCs w:val="28"/>
          <w:highlight w:val="none"/>
          <w:lang w:eastAsia="zh-CN"/>
        </w:rPr>
        <w:t>及其对提升数据质量控制的潜力</w:t>
      </w:r>
      <w:r>
        <w:rPr>
          <w:rFonts w:hint="eastAsia" w:ascii="Times New Roman" w:hAnsi="Times New Roman" w:eastAsia="仿宋"/>
          <w:sz w:val="28"/>
          <w:szCs w:val="28"/>
          <w:highlight w:val="none"/>
        </w:rPr>
        <w:t>。</w:t>
      </w:r>
    </w:p>
    <w:p w14:paraId="105986B3">
      <w:pPr>
        <w:pStyle w:val="2"/>
        <w:rPr>
          <w:rFonts w:hint="eastAsia" w:ascii="Times New Roman" w:hAnsi="Times New Roman" w:eastAsia="仿宋"/>
          <w:sz w:val="28"/>
          <w:szCs w:val="28"/>
          <w:highlight w:val="none"/>
        </w:rPr>
      </w:pPr>
      <w:r>
        <w:rPr>
          <w:rFonts w:hint="eastAsia" w:ascii="Times New Roman" w:hAnsi="Times New Roman" w:eastAsia="仿宋"/>
          <w:sz w:val="28"/>
          <w:szCs w:val="28"/>
          <w:highlight w:val="none"/>
        </w:rPr>
        <w:t xml:space="preserve">c. </w:t>
      </w:r>
      <w:r>
        <w:rPr>
          <w:rFonts w:hint="eastAsia" w:eastAsia="仿宋"/>
          <w:sz w:val="28"/>
          <w:szCs w:val="28"/>
          <w:highlight w:val="none"/>
        </w:rPr>
        <w:t>面向制度转型的MRV支持能力分析：</w:t>
      </w:r>
      <w:r>
        <w:rPr>
          <w:rFonts w:hint="eastAsia" w:eastAsia="仿宋"/>
          <w:sz w:val="28"/>
          <w:szCs w:val="28"/>
          <w:highlight w:val="none"/>
          <w:lang w:eastAsia="zh-CN"/>
        </w:rPr>
        <w:t>分析铝冶炼行业</w:t>
      </w:r>
      <w:r>
        <w:rPr>
          <w:rFonts w:hint="eastAsia" w:eastAsia="仿宋"/>
          <w:sz w:val="28"/>
          <w:szCs w:val="28"/>
          <w:highlight w:val="none"/>
        </w:rPr>
        <w:t>现行MRV体系对配额总量控制及有偿分配实施的支撑能力，提出适应制度转型的MRV改进方向与实施路径。</w:t>
      </w:r>
      <w:r>
        <w:rPr>
          <w:rFonts w:eastAsia="仿宋"/>
          <w:sz w:val="28"/>
          <w:szCs w:val="28"/>
          <w:highlight w:val="none"/>
        </w:rPr>
        <w:t>内容包括但不限于：核算指南修订建议、核查工作改进意见、数据质量保障机制强化路径、全国碳市场平台优化及新型监测技术推荐应用等</w:t>
      </w:r>
      <w:r>
        <w:rPr>
          <w:rFonts w:hint="eastAsia" w:eastAsia="仿宋"/>
          <w:sz w:val="28"/>
          <w:szCs w:val="28"/>
          <w:highlight w:val="none"/>
        </w:rPr>
        <w:t>。</w:t>
      </w:r>
    </w:p>
    <w:p w14:paraId="543E0A0A">
      <w:pPr>
        <w:pStyle w:val="2"/>
        <w:rPr>
          <w:rFonts w:ascii="Times New Roman" w:hAnsi="Times New Roman" w:eastAsia="仿宋"/>
          <w:sz w:val="28"/>
          <w:szCs w:val="28"/>
          <w:highlight w:val="none"/>
        </w:rPr>
      </w:pPr>
      <w:r>
        <w:rPr>
          <w:rFonts w:hint="eastAsia" w:eastAsia="仿宋"/>
          <w:sz w:val="28"/>
          <w:szCs w:val="28"/>
          <w:highlight w:val="none"/>
          <w:lang w:val="en-US" w:eastAsia="zh-CN"/>
        </w:rPr>
        <w:t xml:space="preserve">d. </w:t>
      </w:r>
      <w:r>
        <w:rPr>
          <w:rFonts w:hint="eastAsia" w:ascii="Times New Roman" w:hAnsi="Times New Roman" w:eastAsia="仿宋"/>
          <w:sz w:val="28"/>
          <w:szCs w:val="28"/>
          <w:highlight w:val="none"/>
        </w:rPr>
        <w:t>铝冶炼行业MRV体系优化</w:t>
      </w:r>
      <w:r>
        <w:rPr>
          <w:rFonts w:hint="eastAsia" w:eastAsia="仿宋"/>
          <w:sz w:val="28"/>
          <w:szCs w:val="28"/>
          <w:highlight w:val="none"/>
          <w:lang w:eastAsia="zh-CN"/>
        </w:rPr>
        <w:t>改进</w:t>
      </w:r>
      <w:r>
        <w:rPr>
          <w:rFonts w:hint="eastAsia" w:ascii="Times New Roman" w:hAnsi="Times New Roman" w:eastAsia="仿宋"/>
          <w:sz w:val="28"/>
          <w:szCs w:val="28"/>
          <w:highlight w:val="none"/>
        </w:rPr>
        <w:t>建议：</w:t>
      </w:r>
      <w:r>
        <w:rPr>
          <w:rFonts w:hint="eastAsia" w:eastAsia="仿宋"/>
          <w:sz w:val="28"/>
          <w:szCs w:val="28"/>
          <w:highlight w:val="none"/>
          <w:lang w:eastAsia="zh-CN"/>
        </w:rPr>
        <w:t>综合上述分析，</w:t>
      </w:r>
      <w:r>
        <w:rPr>
          <w:rFonts w:hint="eastAsia" w:ascii="Times New Roman" w:hAnsi="Times New Roman" w:eastAsia="仿宋"/>
          <w:sz w:val="28"/>
          <w:szCs w:val="28"/>
          <w:highlight w:val="none"/>
        </w:rPr>
        <w:t>系统提出铝冶炼行业MRV体系优化改进建议。同时，配合PMO参与MRV体系优化相关交流会，就行业政策动向、行业发展现状及最新动态开展深入交流。</w:t>
      </w:r>
    </w:p>
    <w:p w14:paraId="543E0A0B">
      <w:pPr>
        <w:pStyle w:val="3"/>
        <w:keepNext w:val="0"/>
        <w:keepLines w:val="0"/>
        <w:snapToGrid/>
        <w:spacing w:before="0" w:after="0"/>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四、预计交付成果</w:t>
      </w:r>
    </w:p>
    <w:p w14:paraId="543E0A0C">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本项目预计成果包括：</w:t>
      </w:r>
    </w:p>
    <w:p w14:paraId="6D7E92C2">
      <w:pPr>
        <w:widowControl/>
        <w:overflowPunct w:val="0"/>
        <w:autoSpaceDE w:val="0"/>
        <w:autoSpaceDN w:val="0"/>
        <w:adjustRightInd w:val="0"/>
        <w:spacing w:line="360" w:lineRule="auto"/>
        <w:ind w:firstLine="562" w:firstLineChars="200"/>
        <w:textAlignment w:val="baseline"/>
        <w:outlineLvl w:val="0"/>
        <w:rPr>
          <w:rFonts w:hint="eastAsia" w:ascii="Times New Roman" w:hAnsi="Times New Roman" w:eastAsia="仿宋" w:cs="Times New Roman"/>
          <w:b/>
          <w:bCs/>
          <w:color w:val="000000" w:themeColor="text1"/>
          <w:sz w:val="28"/>
          <w:szCs w:val="28"/>
          <w:highlight w:val="none"/>
          <w14:textFill>
            <w14:solidFill>
              <w14:schemeClr w14:val="tx1"/>
            </w14:solidFill>
          </w14:textFill>
        </w:rPr>
      </w:pPr>
      <w:r>
        <w:rPr>
          <w:rFonts w:hint="eastAsia" w:ascii="Times New Roman" w:hAnsi="Times New Roman" w:eastAsia="仿宋" w:cs="Times New Roman"/>
          <w:b/>
          <w:bCs/>
          <w:color w:val="000000" w:themeColor="text1"/>
          <w:sz w:val="28"/>
          <w:szCs w:val="28"/>
          <w:highlight w:val="none"/>
          <w14:textFill>
            <w14:solidFill>
              <w14:schemeClr w14:val="tx1"/>
            </w14:solidFill>
          </w14:textFill>
        </w:rPr>
        <w:t>4.1</w:t>
      </w:r>
      <w:r>
        <w:rPr>
          <w:rFonts w:hint="eastAsia" w:ascii="Times New Roman" w:hAnsi="Times New Roman" w:eastAsia="仿宋" w:cs="Times New Roman"/>
          <w:b/>
          <w:bCs/>
          <w:color w:val="000000" w:themeColor="text1"/>
          <w:sz w:val="28"/>
          <w:szCs w:val="28"/>
          <w:highlight w:val="none"/>
          <w:lang w:val="en-US" w:eastAsia="zh-CN"/>
          <w14:textFill>
            <w14:solidFill>
              <w14:schemeClr w14:val="tx1"/>
            </w14:solidFill>
          </w14:textFill>
        </w:rPr>
        <w:t xml:space="preserve"> </w:t>
      </w:r>
      <w:r>
        <w:rPr>
          <w:rFonts w:hint="eastAsia" w:ascii="Times New Roman" w:hAnsi="Times New Roman" w:eastAsia="仿宋" w:cs="Times New Roman"/>
          <w:b/>
          <w:bCs/>
          <w:color w:val="000000" w:themeColor="text1"/>
          <w:sz w:val="28"/>
          <w:szCs w:val="28"/>
          <w:highlight w:val="none"/>
          <w14:textFill>
            <w14:solidFill>
              <w14:schemeClr w14:val="tx1"/>
            </w14:solidFill>
          </w14:textFill>
        </w:rPr>
        <w:t>《铝冶炼行业配额管理及MRV需求分析报告》</w:t>
      </w:r>
    </w:p>
    <w:p w14:paraId="543E0A0D">
      <w:pPr>
        <w:widowControl/>
        <w:overflowPunct w:val="0"/>
        <w:autoSpaceDE w:val="0"/>
        <w:autoSpaceDN w:val="0"/>
        <w:adjustRightInd w:val="0"/>
        <w:spacing w:line="360" w:lineRule="auto"/>
        <w:ind w:firstLine="562" w:firstLineChars="200"/>
        <w:textAlignment w:val="baseline"/>
        <w:outlineLvl w:val="0"/>
        <w:rPr>
          <w:rFonts w:ascii="Times New Roman" w:hAnsi="Times New Roman" w:eastAsia="仿宋" w:cs="Times New Roman"/>
          <w:b/>
          <w:bCs/>
          <w:color w:val="000000" w:themeColor="text1"/>
          <w:sz w:val="28"/>
          <w:szCs w:val="28"/>
          <w:highlight w:val="none"/>
          <w14:textFill>
            <w14:solidFill>
              <w14:schemeClr w14:val="tx1"/>
            </w14:solidFill>
          </w14:textFill>
        </w:rPr>
      </w:pPr>
      <w:r>
        <w:rPr>
          <w:rFonts w:hint="eastAsia" w:ascii="Times New Roman" w:hAnsi="Times New Roman" w:eastAsia="仿宋" w:cs="Times New Roman"/>
          <w:b/>
          <w:bCs/>
          <w:color w:val="000000" w:themeColor="text1"/>
          <w:sz w:val="28"/>
          <w:szCs w:val="28"/>
          <w:highlight w:val="none"/>
          <w:lang w:val="en-US" w:eastAsia="zh-CN"/>
          <w14:textFill>
            <w14:solidFill>
              <w14:schemeClr w14:val="tx1"/>
            </w14:solidFill>
          </w14:textFill>
        </w:rPr>
        <w:t xml:space="preserve">4.2 </w:t>
      </w:r>
      <w:r>
        <w:rPr>
          <w:rFonts w:hint="eastAsia" w:ascii="Times New Roman" w:hAnsi="Times New Roman" w:eastAsia="仿宋" w:cs="Times New Roman"/>
          <w:b/>
          <w:bCs/>
          <w:color w:val="000000" w:themeColor="text1"/>
          <w:sz w:val="28"/>
          <w:szCs w:val="28"/>
          <w:highlight w:val="none"/>
          <w14:textFill>
            <w14:solidFill>
              <w14:schemeClr w14:val="tx1"/>
            </w14:solidFill>
          </w14:textFill>
        </w:rPr>
        <w:t>《铝冶炼行业配额管理制度优化建议报告》</w:t>
      </w:r>
    </w:p>
    <w:p w14:paraId="543E0A0E">
      <w:pPr>
        <w:widowControl/>
        <w:overflowPunct w:val="0"/>
        <w:autoSpaceDE w:val="0"/>
        <w:autoSpaceDN w:val="0"/>
        <w:adjustRightInd w:val="0"/>
        <w:spacing w:line="360" w:lineRule="auto"/>
        <w:ind w:firstLine="562" w:firstLineChars="200"/>
        <w:textAlignment w:val="baseline"/>
        <w:outlineLvl w:val="0"/>
        <w:rPr>
          <w:rFonts w:ascii="Times New Roman" w:hAnsi="Times New Roman" w:eastAsia="仿宋" w:cs="Times New Roman"/>
          <w:b/>
          <w:bCs/>
          <w:color w:val="000000" w:themeColor="text1"/>
          <w:sz w:val="28"/>
          <w:szCs w:val="28"/>
          <w:highlight w:val="none"/>
          <w14:textFill>
            <w14:solidFill>
              <w14:schemeClr w14:val="tx1"/>
            </w14:solidFill>
          </w14:textFill>
        </w:rPr>
      </w:pPr>
      <w:r>
        <w:rPr>
          <w:rFonts w:hint="eastAsia" w:ascii="Times New Roman" w:hAnsi="Times New Roman" w:eastAsia="仿宋" w:cs="Times New Roman"/>
          <w:b/>
          <w:bCs/>
          <w:color w:val="000000" w:themeColor="text1"/>
          <w:sz w:val="28"/>
          <w:szCs w:val="28"/>
          <w:highlight w:val="none"/>
          <w14:textFill>
            <w14:solidFill>
              <w14:schemeClr w14:val="tx1"/>
            </w14:solidFill>
          </w14:textFill>
        </w:rPr>
        <w:t>4.</w:t>
      </w:r>
      <w:r>
        <w:rPr>
          <w:rFonts w:hint="eastAsia" w:ascii="Times New Roman" w:hAnsi="Times New Roman" w:eastAsia="仿宋" w:cs="Times New Roman"/>
          <w:b/>
          <w:bCs/>
          <w:color w:val="000000" w:themeColor="text1"/>
          <w:sz w:val="28"/>
          <w:szCs w:val="28"/>
          <w:highlight w:val="none"/>
          <w:lang w:val="en-US" w:eastAsia="zh-CN"/>
          <w14:textFill>
            <w14:solidFill>
              <w14:schemeClr w14:val="tx1"/>
            </w14:solidFill>
          </w14:textFill>
        </w:rPr>
        <w:t xml:space="preserve">3 </w:t>
      </w:r>
      <w:r>
        <w:rPr>
          <w:rFonts w:hint="eastAsia" w:ascii="Times New Roman" w:hAnsi="Times New Roman" w:eastAsia="仿宋" w:cs="Times New Roman"/>
          <w:b/>
          <w:bCs/>
          <w:color w:val="000000" w:themeColor="text1"/>
          <w:sz w:val="28"/>
          <w:szCs w:val="28"/>
          <w:highlight w:val="none"/>
          <w14:textFill>
            <w14:solidFill>
              <w14:schemeClr w14:val="tx1"/>
            </w14:solidFill>
          </w14:textFill>
        </w:rPr>
        <w:t>《铝冶炼行业MRV体系改进建议报告》</w:t>
      </w:r>
    </w:p>
    <w:p w14:paraId="543E0A0F">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sz w:val="28"/>
          <w:szCs w:val="28"/>
          <w:highlight w:val="none"/>
        </w:rPr>
      </w:pPr>
      <w:r>
        <w:rPr>
          <w:rFonts w:hint="eastAsia" w:ascii="Times New Roman" w:hAnsi="Times New Roman" w:eastAsia="仿宋" w:cs="Times New Roman"/>
          <w:color w:val="000000" w:themeColor="text1"/>
          <w:sz w:val="28"/>
          <w:szCs w:val="28"/>
          <w:highlight w:val="none"/>
          <w14:textFill>
            <w14:solidFill>
              <w14:schemeClr w14:val="tx1"/>
            </w14:solidFill>
          </w14:textFill>
        </w:rPr>
        <w:t>本分包合同所有交付成果应与相关利益方进行磋商，并按照PMO提供的环境与社会相关工具包形成磋商纪要（至少包括人员、内容及照片）、意见反馈及采纳情况，并按要求提交进展报告。</w:t>
      </w:r>
    </w:p>
    <w:p w14:paraId="543E0A10">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sz w:val="28"/>
          <w:szCs w:val="28"/>
          <w:highlight w:val="none"/>
        </w:rPr>
      </w:pPr>
      <w:r>
        <w:rPr>
          <w:rFonts w:hint="eastAsia" w:ascii="Times New Roman" w:hAnsi="Times New Roman" w:eastAsia="仿宋" w:cs="Times New Roman"/>
          <w:color w:val="000000" w:themeColor="text1"/>
          <w:sz w:val="28"/>
          <w:szCs w:val="28"/>
          <w:highlight w:val="none"/>
          <w14:textFill>
            <w14:solidFill>
              <w14:schemeClr w14:val="tx1"/>
            </w14:solidFill>
          </w14:textFill>
        </w:rPr>
        <w:t>本分包合同所有</w:t>
      </w:r>
      <w:r>
        <w:rPr>
          <w:rFonts w:ascii="Times New Roman" w:hAnsi="Times New Roman" w:eastAsia="仿宋" w:cs="Times New Roman"/>
          <w:color w:val="000000" w:themeColor="text1"/>
          <w:sz w:val="28"/>
          <w:szCs w:val="28"/>
          <w:highlight w:val="none"/>
          <w14:textFill>
            <w14:solidFill>
              <w14:schemeClr w14:val="tx1"/>
            </w14:solidFill>
          </w14:textFill>
        </w:rPr>
        <w:t>交付成果</w:t>
      </w:r>
      <w:r>
        <w:rPr>
          <w:rFonts w:hint="eastAsia" w:ascii="Times New Roman" w:hAnsi="Times New Roman" w:eastAsia="仿宋" w:cs="Times New Roman"/>
          <w:sz w:val="28"/>
          <w:szCs w:val="28"/>
          <w:highlight w:val="none"/>
        </w:rPr>
        <w:t>均须以中英文双语形式提交，如表述出现不一致或矛盾，以中文为准。</w:t>
      </w:r>
    </w:p>
    <w:p w14:paraId="543E0A11">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highlight w:val="none"/>
          <w14:textFill>
            <w14:solidFill>
              <w14:schemeClr w14:val="tx1"/>
            </w14:solidFill>
          </w14:textFill>
        </w:rPr>
      </w:pPr>
      <w:r>
        <w:rPr>
          <w:rFonts w:ascii="Times New Roman" w:hAnsi="Times New Roman" w:eastAsia="仿宋" w:cs="Times New Roman"/>
          <w:color w:val="000000" w:themeColor="text1"/>
          <w:sz w:val="28"/>
          <w:szCs w:val="28"/>
          <w:highlight w:val="none"/>
          <w14:textFill>
            <w14:solidFill>
              <w14:schemeClr w14:val="tx1"/>
            </w14:solidFill>
          </w14:textFill>
        </w:rPr>
        <w:t>本</w:t>
      </w:r>
      <w:r>
        <w:rPr>
          <w:rFonts w:hint="eastAsia" w:ascii="Times New Roman" w:hAnsi="Times New Roman" w:eastAsia="仿宋" w:cs="Times New Roman"/>
          <w:color w:val="000000" w:themeColor="text1"/>
          <w:sz w:val="28"/>
          <w:szCs w:val="28"/>
          <w:highlight w:val="none"/>
          <w14:textFill>
            <w14:solidFill>
              <w14:schemeClr w14:val="tx1"/>
            </w14:solidFill>
          </w14:textFill>
        </w:rPr>
        <w:t>分包</w:t>
      </w:r>
      <w:r>
        <w:rPr>
          <w:rFonts w:ascii="Times New Roman" w:hAnsi="Times New Roman" w:eastAsia="仿宋" w:cs="Times New Roman"/>
          <w:color w:val="000000" w:themeColor="text1"/>
          <w:sz w:val="28"/>
          <w:szCs w:val="28"/>
          <w:highlight w:val="none"/>
          <w14:textFill>
            <w14:solidFill>
              <w14:schemeClr w14:val="tx1"/>
            </w14:solidFill>
          </w14:textFill>
        </w:rPr>
        <w:t>合同的交付成果将为实现以下</w:t>
      </w:r>
      <w:r>
        <w:rPr>
          <w:rFonts w:hint="eastAsia" w:ascii="Times New Roman" w:hAnsi="Times New Roman" w:eastAsia="仿宋" w:cs="Times New Roman"/>
          <w:color w:val="000000" w:themeColor="text1"/>
          <w:sz w:val="28"/>
          <w:szCs w:val="28"/>
          <w:highlight w:val="none"/>
          <w14:textFill>
            <w14:solidFill>
              <w14:schemeClr w14:val="tx1"/>
            </w14:solidFill>
          </w14:textFill>
        </w:rPr>
        <w:t>项目文件</w:t>
      </w:r>
      <w:r>
        <w:rPr>
          <w:rStyle w:val="26"/>
          <w:rFonts w:hint="eastAsia" w:ascii="Times New Roman" w:hAnsi="Times New Roman" w:eastAsia="仿宋" w:cs="Times New Roman"/>
          <w:color w:val="000000" w:themeColor="text1"/>
          <w:sz w:val="28"/>
          <w:szCs w:val="28"/>
          <w:highlight w:val="none"/>
          <w14:textFill>
            <w14:solidFill>
              <w14:schemeClr w14:val="tx1"/>
            </w14:solidFill>
          </w14:textFill>
        </w:rPr>
        <w:footnoteReference w:id="4"/>
      </w:r>
      <w:r>
        <w:rPr>
          <w:rFonts w:hint="eastAsia" w:ascii="Times New Roman" w:hAnsi="Times New Roman" w:eastAsia="仿宋" w:cs="Times New Roman"/>
          <w:color w:val="000000" w:themeColor="text1"/>
          <w:sz w:val="28"/>
          <w:szCs w:val="28"/>
          <w:highlight w:val="none"/>
          <w14:textFill>
            <w14:solidFill>
              <w14:schemeClr w14:val="tx1"/>
            </w14:solidFill>
          </w14:textFill>
        </w:rPr>
        <w:t>中的项目开发目标（PDO）</w:t>
      </w:r>
      <w:r>
        <w:rPr>
          <w:rFonts w:ascii="Times New Roman" w:hAnsi="Times New Roman" w:eastAsia="仿宋" w:cs="Times New Roman"/>
          <w:color w:val="000000" w:themeColor="text1"/>
          <w:sz w:val="28"/>
          <w:szCs w:val="28"/>
          <w:highlight w:val="none"/>
          <w14:textFill>
            <w14:solidFill>
              <w14:schemeClr w14:val="tx1"/>
            </w14:solidFill>
          </w14:textFill>
        </w:rPr>
        <w:t>及中期指标作出贡献</w:t>
      </w:r>
      <w:r>
        <w:rPr>
          <w:rFonts w:hint="eastAsia" w:ascii="Times New Roman" w:hAnsi="Times New Roman" w:eastAsia="仿宋" w:cs="Times New Roman"/>
          <w:color w:val="000000" w:themeColor="text1"/>
          <w:sz w:val="28"/>
          <w:szCs w:val="28"/>
          <w:highlight w:val="none"/>
          <w14:textFill>
            <w14:solidFill>
              <w14:schemeClr w14:val="tx1"/>
            </w14:solidFill>
          </w14:textFill>
        </w:rPr>
        <w:t>：</w:t>
      </w:r>
    </w:p>
    <w:tbl>
      <w:tblPr>
        <w:tblStyle w:val="21"/>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3"/>
        <w:gridCol w:w="4763"/>
        <w:gridCol w:w="1845"/>
      </w:tblGrid>
      <w:tr w14:paraId="543E0A15">
        <w:trPr>
          <w:tblHeader/>
        </w:trPr>
        <w:tc>
          <w:tcPr>
            <w:tcW w:w="1913" w:type="dxa"/>
            <w:tcBorders>
              <w:tl2br w:val="nil"/>
              <w:tr2bl w:val="nil"/>
            </w:tcBorders>
            <w:vAlign w:val="center"/>
          </w:tcPr>
          <w:p w14:paraId="543E0A12">
            <w:pPr>
              <w:pStyle w:val="2"/>
              <w:ind w:firstLine="0"/>
              <w:jc w:val="center"/>
              <w:rPr>
                <w:rFonts w:eastAsia="仿宋"/>
                <w:b/>
                <w:bCs/>
                <w:sz w:val="24"/>
                <w:szCs w:val="24"/>
                <w:highlight w:val="none"/>
              </w:rPr>
            </w:pPr>
            <w:r>
              <w:rPr>
                <w:rFonts w:hint="eastAsia" w:eastAsia="仿宋"/>
                <w:b/>
                <w:bCs/>
                <w:sz w:val="24"/>
                <w:szCs w:val="24"/>
                <w:highlight w:val="none"/>
              </w:rPr>
              <w:t>预期交付成果</w:t>
            </w:r>
          </w:p>
        </w:tc>
        <w:tc>
          <w:tcPr>
            <w:tcW w:w="4763" w:type="dxa"/>
            <w:tcBorders>
              <w:tl2br w:val="nil"/>
              <w:tr2bl w:val="nil"/>
            </w:tcBorders>
            <w:vAlign w:val="center"/>
          </w:tcPr>
          <w:p w14:paraId="543E0A13">
            <w:pPr>
              <w:pStyle w:val="2"/>
              <w:ind w:firstLine="0"/>
              <w:jc w:val="center"/>
              <w:rPr>
                <w:rFonts w:eastAsia="仿宋"/>
                <w:b/>
                <w:bCs/>
                <w:sz w:val="24"/>
                <w:szCs w:val="24"/>
                <w:highlight w:val="none"/>
              </w:rPr>
            </w:pPr>
            <w:r>
              <w:rPr>
                <w:rFonts w:hint="eastAsia" w:eastAsia="仿宋"/>
                <w:b/>
                <w:bCs/>
                <w:sz w:val="24"/>
                <w:szCs w:val="24"/>
                <w:highlight w:val="none"/>
              </w:rPr>
              <w:t>指标</w:t>
            </w:r>
          </w:p>
        </w:tc>
        <w:tc>
          <w:tcPr>
            <w:tcW w:w="1845" w:type="dxa"/>
            <w:tcBorders>
              <w:tl2br w:val="nil"/>
              <w:tr2bl w:val="nil"/>
            </w:tcBorders>
            <w:vAlign w:val="center"/>
          </w:tcPr>
          <w:p w14:paraId="543E0A14">
            <w:pPr>
              <w:pStyle w:val="2"/>
              <w:ind w:firstLine="0"/>
              <w:jc w:val="center"/>
              <w:rPr>
                <w:rFonts w:eastAsia="仿宋"/>
                <w:b/>
                <w:bCs/>
                <w:sz w:val="24"/>
                <w:szCs w:val="24"/>
                <w:highlight w:val="none"/>
              </w:rPr>
            </w:pPr>
            <w:r>
              <w:rPr>
                <w:rFonts w:hint="eastAsia" w:eastAsia="仿宋"/>
                <w:b/>
                <w:bCs/>
                <w:sz w:val="24"/>
                <w:szCs w:val="24"/>
                <w:highlight w:val="none"/>
              </w:rPr>
              <w:t>贡献类型</w:t>
            </w:r>
          </w:p>
        </w:tc>
      </w:tr>
      <w:tr w14:paraId="543E0A19">
        <w:tc>
          <w:tcPr>
            <w:tcW w:w="1913" w:type="dxa"/>
            <w:tcBorders>
              <w:tl2br w:val="nil"/>
              <w:tr2bl w:val="nil"/>
            </w:tcBorders>
            <w:vAlign w:val="center"/>
          </w:tcPr>
          <w:p w14:paraId="543E0A16">
            <w:pPr>
              <w:pStyle w:val="2"/>
              <w:ind w:firstLine="0"/>
              <w:jc w:val="center"/>
              <w:rPr>
                <w:rFonts w:hint="default" w:eastAsia="仿宋"/>
                <w:sz w:val="24"/>
                <w:szCs w:val="24"/>
                <w:highlight w:val="none"/>
                <w:lang w:val="en-US" w:eastAsia="zh-CN"/>
              </w:rPr>
            </w:pPr>
            <w:r>
              <w:rPr>
                <w:rFonts w:hint="eastAsia" w:eastAsia="仿宋"/>
                <w:sz w:val="24"/>
                <w:szCs w:val="24"/>
                <w:highlight w:val="none"/>
              </w:rPr>
              <w:t>交付成</w:t>
            </w:r>
            <w:r>
              <w:rPr>
                <w:rFonts w:hint="eastAsia" w:eastAsia="仿宋"/>
                <w:sz w:val="24"/>
                <w:szCs w:val="24"/>
                <w:highlight w:val="none"/>
                <w:lang w:val="en-US" w:eastAsia="zh-CN"/>
              </w:rPr>
              <w:t>4.1、4.2、4.3</w:t>
            </w:r>
          </w:p>
        </w:tc>
        <w:tc>
          <w:tcPr>
            <w:tcW w:w="4763" w:type="dxa"/>
            <w:tcBorders>
              <w:tl2br w:val="nil"/>
              <w:tr2bl w:val="nil"/>
            </w:tcBorders>
            <w:vAlign w:val="center"/>
          </w:tcPr>
          <w:p w14:paraId="543E0A17">
            <w:pPr>
              <w:pStyle w:val="2"/>
              <w:ind w:firstLine="0"/>
              <w:jc w:val="left"/>
              <w:rPr>
                <w:rFonts w:eastAsia="仿宋"/>
                <w:sz w:val="24"/>
                <w:szCs w:val="24"/>
                <w:highlight w:val="none"/>
              </w:rPr>
            </w:pPr>
            <w:r>
              <w:rPr>
                <w:rFonts w:hint="eastAsia" w:eastAsia="仿宋"/>
                <w:sz w:val="24"/>
                <w:szCs w:val="24"/>
                <w:highlight w:val="none"/>
              </w:rPr>
              <w:t>项目文件PDO指标2——完成3个新增行业共计6项技术指南（草案及终稿）的编制，并通过生态环境部官网发布</w:t>
            </w:r>
          </w:p>
        </w:tc>
        <w:tc>
          <w:tcPr>
            <w:tcW w:w="1845" w:type="dxa"/>
            <w:tcBorders>
              <w:tl2br w:val="nil"/>
              <w:tr2bl w:val="nil"/>
            </w:tcBorders>
            <w:vAlign w:val="center"/>
          </w:tcPr>
          <w:p w14:paraId="543E0A18">
            <w:pPr>
              <w:pStyle w:val="2"/>
              <w:ind w:firstLine="0"/>
              <w:jc w:val="center"/>
              <w:rPr>
                <w:rFonts w:eastAsia="仿宋"/>
                <w:sz w:val="24"/>
                <w:szCs w:val="24"/>
                <w:highlight w:val="none"/>
              </w:rPr>
            </w:pPr>
            <w:r>
              <w:rPr>
                <w:rFonts w:hint="eastAsia" w:eastAsia="仿宋"/>
                <w:sz w:val="24"/>
                <w:szCs w:val="24"/>
                <w:highlight w:val="none"/>
              </w:rPr>
              <w:t>间接贡献</w:t>
            </w:r>
          </w:p>
        </w:tc>
      </w:tr>
    </w:tbl>
    <w:p w14:paraId="543E0A1A">
      <w:pPr>
        <w:spacing w:line="360" w:lineRule="auto"/>
        <w:rPr>
          <w:rFonts w:ascii="Times New Roman" w:hAnsi="Times New Roman" w:eastAsia="仿宋" w:cs="Times New Roman"/>
          <w:sz w:val="24"/>
          <w:szCs w:val="24"/>
          <w:highlight w:val="none"/>
        </w:rPr>
      </w:pPr>
    </w:p>
    <w:p w14:paraId="543E0A1B">
      <w:pPr>
        <w:pStyle w:val="3"/>
        <w:keepNext w:val="0"/>
        <w:keepLines w:val="0"/>
        <w:snapToGrid/>
        <w:spacing w:before="0" w:after="0"/>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五、时间安排及交付周期</w:t>
      </w:r>
    </w:p>
    <w:p w14:paraId="543E0A1C">
      <w:pPr>
        <w:ind w:firstLine="560" w:firstLineChars="200"/>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本</w:t>
      </w:r>
      <w:r>
        <w:rPr>
          <w:rFonts w:hint="eastAsia" w:ascii="Times New Roman" w:hAnsi="Times New Roman" w:eastAsia="仿宋" w:cs="Times New Roman"/>
          <w:sz w:val="28"/>
          <w:szCs w:val="28"/>
          <w:highlight w:val="none"/>
        </w:rPr>
        <w:t>分包</w:t>
      </w:r>
      <w:r>
        <w:rPr>
          <w:rFonts w:ascii="Times New Roman" w:hAnsi="Times New Roman" w:eastAsia="仿宋" w:cs="Times New Roman"/>
          <w:sz w:val="28"/>
          <w:szCs w:val="28"/>
          <w:highlight w:val="none"/>
        </w:rPr>
        <w:t>合同的主要任务应在</w:t>
      </w:r>
      <w:r>
        <w:rPr>
          <w:rFonts w:hint="eastAsia" w:ascii="Times New Roman" w:hAnsi="Times New Roman" w:eastAsia="仿宋" w:cs="Times New Roman"/>
          <w:sz w:val="28"/>
          <w:szCs w:val="28"/>
          <w:highlight w:val="none"/>
        </w:rPr>
        <w:t>10</w:t>
      </w:r>
      <w:r>
        <w:rPr>
          <w:rFonts w:ascii="Times New Roman" w:hAnsi="Times New Roman" w:eastAsia="仿宋" w:cs="Times New Roman"/>
          <w:sz w:val="28"/>
          <w:szCs w:val="28"/>
          <w:highlight w:val="none"/>
        </w:rPr>
        <w:t>个月内完成，即所有关键交付成果须在</w:t>
      </w:r>
      <w:r>
        <w:rPr>
          <w:rFonts w:hint="eastAsia" w:ascii="Times New Roman" w:hAnsi="Times New Roman" w:eastAsia="仿宋" w:cs="Times New Roman"/>
          <w:sz w:val="28"/>
          <w:szCs w:val="28"/>
          <w:highlight w:val="none"/>
        </w:rPr>
        <w:t>10</w:t>
      </w:r>
      <w:r>
        <w:rPr>
          <w:rFonts w:ascii="Times New Roman" w:hAnsi="Times New Roman" w:eastAsia="仿宋" w:cs="Times New Roman"/>
          <w:sz w:val="28"/>
          <w:szCs w:val="28"/>
          <w:highlight w:val="none"/>
        </w:rPr>
        <w:t>个月内提交。为确保交付成果的质量，</w:t>
      </w:r>
      <w:r>
        <w:rPr>
          <w:rFonts w:hint="eastAsia" w:ascii="Times New Roman" w:hAnsi="Times New Roman" w:eastAsia="仿宋" w:cs="Times New Roman"/>
          <w:sz w:val="28"/>
          <w:szCs w:val="28"/>
          <w:highlight w:val="none"/>
        </w:rPr>
        <w:t>分包</w:t>
      </w:r>
      <w:r>
        <w:rPr>
          <w:rFonts w:ascii="Times New Roman" w:hAnsi="Times New Roman" w:eastAsia="仿宋" w:cs="Times New Roman"/>
          <w:sz w:val="28"/>
          <w:szCs w:val="28"/>
          <w:highlight w:val="none"/>
        </w:rPr>
        <w:t>合同承担</w:t>
      </w:r>
      <w:r>
        <w:rPr>
          <w:rFonts w:hint="eastAsia" w:ascii="Times New Roman" w:hAnsi="Times New Roman" w:eastAsia="仿宋" w:cs="Times New Roman"/>
          <w:sz w:val="28"/>
          <w:szCs w:val="28"/>
          <w:highlight w:val="none"/>
        </w:rPr>
        <w:t>单位</w:t>
      </w:r>
      <w:r>
        <w:rPr>
          <w:rFonts w:ascii="Times New Roman" w:hAnsi="Times New Roman" w:eastAsia="仿宋" w:cs="Times New Roman"/>
          <w:sz w:val="28"/>
          <w:szCs w:val="28"/>
          <w:highlight w:val="none"/>
        </w:rPr>
        <w:t>应秉持积极的协作精神，根据</w:t>
      </w:r>
      <w:r>
        <w:rPr>
          <w:rFonts w:hint="eastAsia" w:ascii="Times New Roman" w:hAnsi="Times New Roman" w:eastAsia="仿宋" w:cs="Times New Roman"/>
          <w:sz w:val="28"/>
          <w:szCs w:val="28"/>
          <w:highlight w:val="none"/>
        </w:rPr>
        <w:t>PMO</w:t>
      </w:r>
      <w:r>
        <w:rPr>
          <w:rFonts w:ascii="Times New Roman" w:hAnsi="Times New Roman" w:eastAsia="仿宋" w:cs="Times New Roman"/>
          <w:sz w:val="28"/>
          <w:szCs w:val="28"/>
          <w:highlight w:val="none"/>
        </w:rPr>
        <w:t>的要求，对交付成果进行更新、完善与优化，并提供相关技术支持。</w:t>
      </w:r>
    </w:p>
    <w:p w14:paraId="543E0A1D">
      <w:pPr>
        <w:ind w:firstLine="560" w:firstLineChars="200"/>
        <w:rPr>
          <w:rFonts w:ascii="Times New Roman" w:hAnsi="Times New Roman" w:eastAsia="仿宋" w:cs="Times New Roman"/>
          <w:sz w:val="24"/>
          <w:szCs w:val="24"/>
          <w:highlight w:val="none"/>
        </w:rPr>
      </w:pPr>
      <w:r>
        <w:rPr>
          <w:rFonts w:ascii="Times New Roman" w:hAnsi="Times New Roman" w:eastAsia="仿宋" w:cs="Times New Roman"/>
          <w:sz w:val="28"/>
          <w:szCs w:val="28"/>
          <w:highlight w:val="none"/>
        </w:rPr>
        <w:t>本</w:t>
      </w:r>
      <w:r>
        <w:rPr>
          <w:rFonts w:hint="eastAsia" w:ascii="Times New Roman" w:hAnsi="Times New Roman" w:eastAsia="仿宋" w:cs="Times New Roman"/>
          <w:sz w:val="28"/>
          <w:szCs w:val="28"/>
          <w:highlight w:val="none"/>
        </w:rPr>
        <w:t>分包</w:t>
      </w:r>
      <w:r>
        <w:rPr>
          <w:rFonts w:ascii="Times New Roman" w:hAnsi="Times New Roman" w:eastAsia="仿宋" w:cs="Times New Roman"/>
          <w:sz w:val="28"/>
          <w:szCs w:val="28"/>
          <w:highlight w:val="none"/>
        </w:rPr>
        <w:t>合同的款项将分为</w:t>
      </w:r>
      <w:r>
        <w:rPr>
          <w:rFonts w:hint="eastAsia" w:ascii="Times New Roman" w:hAnsi="Times New Roman" w:eastAsia="仿宋" w:cs="Times New Roman"/>
          <w:sz w:val="28"/>
          <w:szCs w:val="28"/>
          <w:highlight w:val="none"/>
        </w:rPr>
        <w:t>3笔</w:t>
      </w:r>
      <w:r>
        <w:rPr>
          <w:rFonts w:ascii="Times New Roman" w:hAnsi="Times New Roman" w:eastAsia="仿宋" w:cs="Times New Roman"/>
          <w:sz w:val="28"/>
          <w:szCs w:val="28"/>
          <w:highlight w:val="none"/>
        </w:rPr>
        <w:t>支付。承担</w:t>
      </w:r>
      <w:r>
        <w:rPr>
          <w:rFonts w:hint="eastAsia" w:ascii="Times New Roman" w:hAnsi="Times New Roman" w:eastAsia="仿宋" w:cs="Times New Roman"/>
          <w:sz w:val="28"/>
          <w:szCs w:val="28"/>
          <w:highlight w:val="none"/>
        </w:rPr>
        <w:t>单位</w:t>
      </w:r>
      <w:r>
        <w:rPr>
          <w:rFonts w:ascii="Times New Roman" w:hAnsi="Times New Roman" w:eastAsia="仿宋" w:cs="Times New Roman"/>
          <w:sz w:val="28"/>
          <w:szCs w:val="28"/>
          <w:highlight w:val="none"/>
        </w:rPr>
        <w:t>在提交下表中各期付款所要求的全部文件，且文件经</w:t>
      </w:r>
      <w:r>
        <w:rPr>
          <w:rFonts w:hint="eastAsia" w:ascii="Times New Roman" w:hAnsi="Times New Roman" w:eastAsia="仿宋" w:cs="Times New Roman"/>
          <w:sz w:val="28"/>
          <w:szCs w:val="28"/>
          <w:highlight w:val="none"/>
        </w:rPr>
        <w:t>PMO</w:t>
      </w:r>
      <w:r>
        <w:rPr>
          <w:rFonts w:ascii="Times New Roman" w:hAnsi="Times New Roman" w:eastAsia="仿宋" w:cs="Times New Roman"/>
          <w:sz w:val="28"/>
          <w:szCs w:val="28"/>
          <w:highlight w:val="none"/>
        </w:rPr>
        <w:t>技术评审并通过专家评审会议满意验收后，方可获得相应款项。交付成果提交及付款的具体时间建议如下</w:t>
      </w:r>
      <w:r>
        <w:rPr>
          <w:rFonts w:hint="eastAsia" w:ascii="Times New Roman" w:hAnsi="Times New Roman" w:eastAsia="仿宋" w:cs="Times New Roman"/>
          <w:sz w:val="28"/>
          <w:szCs w:val="28"/>
          <w:highlight w:val="none"/>
        </w:rPr>
        <w:t>：</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4619"/>
        <w:gridCol w:w="1761"/>
        <w:gridCol w:w="1333"/>
      </w:tblGrid>
      <w:tr w14:paraId="543E0A22">
        <w:trPr>
          <w:trHeight w:val="462" w:hRule="atLeast"/>
          <w:tblHeader/>
        </w:trPr>
        <w:tc>
          <w:tcPr>
            <w:tcW w:w="473" w:type="pct"/>
            <w:vAlign w:val="center"/>
          </w:tcPr>
          <w:p w14:paraId="543E0A1E">
            <w:pPr>
              <w:spacing w:before="156" w:beforeLines="50" w:after="156" w:afterLines="50"/>
              <w:rPr>
                <w:rFonts w:ascii="Times New Roman" w:hAnsi="Times New Roman" w:eastAsia="仿宋" w:cs="Times New Roman"/>
                <w:b/>
                <w:bCs/>
                <w:sz w:val="24"/>
                <w:szCs w:val="24"/>
                <w:highlight w:val="none"/>
              </w:rPr>
            </w:pPr>
            <w:r>
              <w:rPr>
                <w:rFonts w:hint="eastAsia" w:ascii="Times New Roman" w:hAnsi="Times New Roman" w:eastAsia="仿宋" w:cs="Times New Roman"/>
                <w:b/>
                <w:bCs/>
                <w:sz w:val="24"/>
                <w:szCs w:val="24"/>
                <w:highlight w:val="none"/>
              </w:rPr>
              <w:t>序号</w:t>
            </w:r>
          </w:p>
        </w:tc>
        <w:tc>
          <w:tcPr>
            <w:tcW w:w="2710" w:type="pct"/>
            <w:vAlign w:val="center"/>
          </w:tcPr>
          <w:p w14:paraId="543E0A1F">
            <w:pPr>
              <w:spacing w:before="156" w:beforeLines="50" w:after="156" w:afterLines="50"/>
              <w:rPr>
                <w:rFonts w:ascii="Times New Roman" w:hAnsi="Times New Roman" w:eastAsia="仿宋" w:cs="Times New Roman"/>
                <w:b/>
                <w:bCs/>
                <w:sz w:val="24"/>
                <w:szCs w:val="24"/>
                <w:highlight w:val="none"/>
              </w:rPr>
            </w:pPr>
            <w:r>
              <w:rPr>
                <w:rFonts w:hint="eastAsia" w:ascii="Times New Roman" w:hAnsi="Times New Roman" w:eastAsia="仿宋" w:cs="Times New Roman"/>
                <w:b/>
                <w:bCs/>
                <w:sz w:val="24"/>
                <w:szCs w:val="24"/>
                <w:highlight w:val="none"/>
              </w:rPr>
              <w:t>交付成果及进度</w:t>
            </w:r>
          </w:p>
        </w:tc>
        <w:tc>
          <w:tcPr>
            <w:tcW w:w="1033" w:type="pct"/>
            <w:vAlign w:val="center"/>
          </w:tcPr>
          <w:p w14:paraId="543E0A20">
            <w:pPr>
              <w:spacing w:before="156" w:beforeLines="50" w:after="156" w:afterLines="50"/>
              <w:rPr>
                <w:rFonts w:ascii="Times New Roman" w:hAnsi="Times New Roman" w:eastAsia="仿宋" w:cs="Times New Roman"/>
                <w:b/>
                <w:bCs/>
                <w:sz w:val="24"/>
                <w:szCs w:val="24"/>
                <w:highlight w:val="none"/>
              </w:rPr>
            </w:pPr>
            <w:r>
              <w:rPr>
                <w:rFonts w:hint="eastAsia" w:ascii="Times New Roman" w:hAnsi="Times New Roman" w:eastAsia="仿宋" w:cs="Times New Roman"/>
                <w:b/>
                <w:bCs/>
                <w:sz w:val="24"/>
                <w:szCs w:val="24"/>
                <w:highlight w:val="none"/>
              </w:rPr>
              <w:t>预计交付时间</w:t>
            </w:r>
          </w:p>
        </w:tc>
        <w:tc>
          <w:tcPr>
            <w:tcW w:w="782" w:type="pct"/>
            <w:vAlign w:val="center"/>
          </w:tcPr>
          <w:p w14:paraId="543E0A21">
            <w:pPr>
              <w:spacing w:before="156" w:beforeLines="50" w:after="156" w:afterLines="50"/>
              <w:rPr>
                <w:rFonts w:ascii="Times New Roman" w:hAnsi="Times New Roman" w:eastAsia="仿宋" w:cs="Times New Roman"/>
                <w:b/>
                <w:bCs/>
                <w:sz w:val="24"/>
                <w:szCs w:val="24"/>
                <w:highlight w:val="none"/>
              </w:rPr>
            </w:pPr>
            <w:r>
              <w:rPr>
                <w:rFonts w:hint="eastAsia" w:ascii="Times New Roman" w:hAnsi="Times New Roman" w:eastAsia="仿宋" w:cs="Times New Roman"/>
                <w:b/>
                <w:bCs/>
                <w:sz w:val="24"/>
                <w:szCs w:val="24"/>
                <w:highlight w:val="none"/>
              </w:rPr>
              <w:t>支付比例</w:t>
            </w:r>
            <w:r>
              <w:rPr>
                <w:rFonts w:ascii="Times New Roman" w:hAnsi="Times New Roman" w:eastAsia="仿宋" w:cs="Times New Roman"/>
                <w:b/>
                <w:bCs/>
                <w:sz w:val="24"/>
                <w:szCs w:val="24"/>
                <w:highlight w:val="none"/>
              </w:rPr>
              <w:t xml:space="preserve"> </w:t>
            </w:r>
          </w:p>
        </w:tc>
      </w:tr>
      <w:tr w14:paraId="543E0A27">
        <w:tc>
          <w:tcPr>
            <w:tcW w:w="473" w:type="pct"/>
            <w:vAlign w:val="center"/>
          </w:tcPr>
          <w:p w14:paraId="543E0A23">
            <w:pPr>
              <w:spacing w:before="156" w:beforeLines="50" w:after="156" w:afterLines="50"/>
              <w:jc w:val="center"/>
              <w:rPr>
                <w:rFonts w:ascii="Times New Roman" w:hAnsi="Times New Roman" w:eastAsia="仿宋" w:cs="Times New Roman"/>
                <w:sz w:val="24"/>
                <w:szCs w:val="24"/>
                <w:highlight w:val="none"/>
              </w:rPr>
            </w:pPr>
            <w:r>
              <w:rPr>
                <w:rFonts w:ascii="Times New Roman" w:hAnsi="Times New Roman" w:eastAsia="仿宋" w:cs="Times New Roman"/>
                <w:sz w:val="24"/>
                <w:szCs w:val="24"/>
                <w:highlight w:val="none"/>
              </w:rPr>
              <w:t>1</w:t>
            </w:r>
          </w:p>
        </w:tc>
        <w:tc>
          <w:tcPr>
            <w:tcW w:w="2710" w:type="pct"/>
            <w:vAlign w:val="center"/>
          </w:tcPr>
          <w:p w14:paraId="543E0A24">
            <w:pPr>
              <w:pStyle w:val="40"/>
              <w:numPr>
                <w:ilvl w:val="0"/>
                <w:numId w:val="1"/>
              </w:numPr>
              <w:spacing w:before="156" w:beforeLines="50" w:after="156" w:afterLines="50"/>
              <w:rPr>
                <w:rFonts w:ascii="Times New Roman" w:hAnsi="Times New Roman" w:eastAsia="仿宋" w:cs="Times New Roman"/>
                <w:sz w:val="24"/>
                <w:highlight w:val="none"/>
              </w:rPr>
            </w:pPr>
            <w:r>
              <w:rPr>
                <w:rFonts w:ascii="Times New Roman" w:hAnsi="Times New Roman" w:eastAsia="仿宋" w:cs="Times New Roman"/>
                <w:sz w:val="24"/>
                <w:highlight w:val="none"/>
              </w:rPr>
              <w:t>详细</w:t>
            </w:r>
            <w:r>
              <w:rPr>
                <w:rFonts w:hint="eastAsia" w:ascii="Times New Roman" w:hAnsi="Times New Roman" w:eastAsia="仿宋" w:cs="Times New Roman"/>
                <w:sz w:val="24"/>
                <w:highlight w:val="none"/>
              </w:rPr>
              <w:t>的分包任务</w:t>
            </w:r>
            <w:r>
              <w:rPr>
                <w:rFonts w:ascii="Times New Roman" w:hAnsi="Times New Roman" w:eastAsia="仿宋" w:cs="Times New Roman"/>
                <w:sz w:val="24"/>
                <w:highlight w:val="none"/>
              </w:rPr>
              <w:t>实施方案</w:t>
            </w:r>
            <w:r>
              <w:rPr>
                <w:rFonts w:hint="eastAsia" w:ascii="Times New Roman" w:hAnsi="Times New Roman" w:eastAsia="仿宋" w:cs="Times New Roman"/>
                <w:sz w:val="24"/>
                <w:highlight w:val="none"/>
              </w:rPr>
              <w:t>（含详细研究方案、工作计划及研究报告大纲）</w:t>
            </w:r>
          </w:p>
        </w:tc>
        <w:tc>
          <w:tcPr>
            <w:tcW w:w="1033" w:type="pct"/>
            <w:vAlign w:val="center"/>
          </w:tcPr>
          <w:p w14:paraId="543E0A25">
            <w:pPr>
              <w:spacing w:before="156" w:beforeLines="50" w:after="156" w:afterLines="50"/>
              <w:jc w:val="center"/>
              <w:rPr>
                <w:rFonts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合同签署后2个月内</w:t>
            </w:r>
          </w:p>
        </w:tc>
        <w:tc>
          <w:tcPr>
            <w:tcW w:w="782" w:type="pct"/>
            <w:vAlign w:val="center"/>
          </w:tcPr>
          <w:p w14:paraId="543E0A26">
            <w:pPr>
              <w:spacing w:before="156" w:beforeLines="50" w:after="156" w:afterLines="50"/>
              <w:jc w:val="center"/>
              <w:rPr>
                <w:rFonts w:ascii="Times New Roman" w:hAnsi="Times New Roman" w:eastAsia="仿宋" w:cs="Times New Roman"/>
                <w:sz w:val="24"/>
                <w:szCs w:val="24"/>
                <w:highlight w:val="none"/>
              </w:rPr>
            </w:pPr>
            <w:r>
              <w:rPr>
                <w:rFonts w:ascii="Times New Roman" w:hAnsi="Times New Roman" w:eastAsia="仿宋" w:cs="Times New Roman"/>
                <w:sz w:val="24"/>
                <w:szCs w:val="24"/>
                <w:highlight w:val="none"/>
              </w:rPr>
              <w:t>15%</w:t>
            </w:r>
          </w:p>
        </w:tc>
      </w:tr>
      <w:tr w14:paraId="543E0A2C">
        <w:tc>
          <w:tcPr>
            <w:tcW w:w="473" w:type="pct"/>
            <w:vAlign w:val="center"/>
          </w:tcPr>
          <w:p w14:paraId="543E0A28">
            <w:pPr>
              <w:spacing w:before="156" w:beforeLines="50" w:after="156" w:afterLines="50"/>
              <w:jc w:val="center"/>
              <w:rPr>
                <w:rFonts w:ascii="Times New Roman" w:hAnsi="Times New Roman" w:eastAsia="仿宋" w:cs="Times New Roman"/>
                <w:sz w:val="24"/>
                <w:szCs w:val="24"/>
                <w:highlight w:val="none"/>
              </w:rPr>
            </w:pPr>
            <w:r>
              <w:rPr>
                <w:rFonts w:ascii="Times New Roman" w:hAnsi="Times New Roman" w:eastAsia="仿宋" w:cs="Times New Roman"/>
                <w:sz w:val="24"/>
                <w:szCs w:val="24"/>
                <w:highlight w:val="none"/>
              </w:rPr>
              <w:t>2</w:t>
            </w:r>
          </w:p>
        </w:tc>
        <w:tc>
          <w:tcPr>
            <w:tcW w:w="2710" w:type="pct"/>
            <w:vAlign w:val="center"/>
          </w:tcPr>
          <w:p w14:paraId="543E0A29">
            <w:pPr>
              <w:pStyle w:val="40"/>
              <w:numPr>
                <w:ilvl w:val="0"/>
                <w:numId w:val="2"/>
              </w:numPr>
              <w:spacing w:before="156" w:beforeLines="50" w:after="156" w:afterLines="50"/>
              <w:rPr>
                <w:rFonts w:ascii="Times New Roman" w:hAnsi="Times New Roman" w:eastAsia="仿宋" w:cs="Times New Roman"/>
                <w:color w:val="000000" w:themeColor="text1"/>
                <w:sz w:val="24"/>
                <w:highlight w:val="none"/>
                <w14:textFill>
                  <w14:solidFill>
                    <w14:schemeClr w14:val="tx1"/>
                  </w14:solidFill>
                </w14:textFill>
              </w:rPr>
            </w:pPr>
            <w:r>
              <w:rPr>
                <w:rFonts w:hint="eastAsia" w:ascii="Times New Roman" w:hAnsi="Times New Roman" w:eastAsia="仿宋" w:cs="Times New Roman"/>
                <w:color w:val="000000" w:themeColor="text1"/>
                <w:sz w:val="24"/>
                <w:highlight w:val="none"/>
                <w14:textFill>
                  <w14:solidFill>
                    <w14:schemeClr w14:val="tx1"/>
                  </w14:solidFill>
                </w14:textFill>
              </w:rPr>
              <w:t>交付成果4.1、交付成果4.2</w:t>
            </w:r>
            <w:r>
              <w:rPr>
                <w:rFonts w:hint="eastAsia" w:ascii="Times New Roman" w:hAnsi="Times New Roman" w:eastAsia="仿宋" w:cs="Times New Roman"/>
                <w:color w:val="000000" w:themeColor="text1"/>
                <w:sz w:val="24"/>
                <w:highlight w:val="none"/>
                <w:lang w:eastAsia="zh-CN"/>
                <w14:textFill>
                  <w14:solidFill>
                    <w14:schemeClr w14:val="tx1"/>
                  </w14:solidFill>
                </w14:textFill>
              </w:rPr>
              <w:t>、交付成果</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4.3</w:t>
            </w:r>
            <w:r>
              <w:rPr>
                <w:rFonts w:hint="eastAsia" w:ascii="Times New Roman" w:hAnsi="Times New Roman" w:eastAsia="仿宋" w:cs="Times New Roman"/>
                <w:color w:val="000000" w:themeColor="text1"/>
                <w:sz w:val="24"/>
                <w:highlight w:val="none"/>
                <w14:textFill>
                  <w14:solidFill>
                    <w14:schemeClr w14:val="tx1"/>
                  </w14:solidFill>
                </w14:textFill>
              </w:rPr>
              <w:t>初稿</w:t>
            </w:r>
          </w:p>
        </w:tc>
        <w:tc>
          <w:tcPr>
            <w:tcW w:w="1033" w:type="pct"/>
            <w:vAlign w:val="center"/>
          </w:tcPr>
          <w:p w14:paraId="543E0A2A">
            <w:pPr>
              <w:spacing w:before="156" w:beforeLines="50" w:after="156" w:afterLines="50"/>
              <w:jc w:val="center"/>
              <w:rPr>
                <w:rFonts w:ascii="Times New Roman" w:hAnsi="Times New Roman" w:eastAsia="仿宋" w:cs="Times New Roman"/>
                <w:sz w:val="24"/>
                <w:szCs w:val="24"/>
                <w:highlight w:val="none"/>
              </w:rPr>
            </w:pPr>
            <w:r>
              <w:rPr>
                <w:rFonts w:hint="eastAsia" w:ascii="Times New Roman" w:hAnsi="Times New Roman" w:eastAsia="仿宋" w:cs="Times New Roman"/>
                <w:sz w:val="24"/>
                <w:highlight w:val="none"/>
              </w:rPr>
              <w:t>合同签署后6个月内</w:t>
            </w:r>
          </w:p>
        </w:tc>
        <w:tc>
          <w:tcPr>
            <w:tcW w:w="782" w:type="pct"/>
            <w:vAlign w:val="center"/>
          </w:tcPr>
          <w:p w14:paraId="543E0A2B">
            <w:pPr>
              <w:spacing w:before="156" w:beforeLines="50" w:after="156" w:afterLines="50"/>
              <w:jc w:val="center"/>
              <w:rPr>
                <w:rFonts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50</w:t>
            </w:r>
            <w:r>
              <w:rPr>
                <w:rFonts w:ascii="Times New Roman" w:hAnsi="Times New Roman" w:eastAsia="仿宋" w:cs="Times New Roman"/>
                <w:sz w:val="24"/>
                <w:szCs w:val="24"/>
                <w:highlight w:val="none"/>
              </w:rPr>
              <w:t>%</w:t>
            </w:r>
          </w:p>
        </w:tc>
      </w:tr>
      <w:tr w14:paraId="543E0A31">
        <w:tc>
          <w:tcPr>
            <w:tcW w:w="473" w:type="pct"/>
            <w:vAlign w:val="center"/>
          </w:tcPr>
          <w:p w14:paraId="543E0A2D">
            <w:pPr>
              <w:spacing w:before="156" w:beforeLines="50" w:after="156" w:afterLines="50"/>
              <w:jc w:val="center"/>
              <w:rPr>
                <w:rFonts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3</w:t>
            </w:r>
          </w:p>
        </w:tc>
        <w:tc>
          <w:tcPr>
            <w:tcW w:w="2710" w:type="pct"/>
            <w:vAlign w:val="center"/>
          </w:tcPr>
          <w:p w14:paraId="543E0A2E">
            <w:pPr>
              <w:pStyle w:val="40"/>
              <w:numPr>
                <w:ilvl w:val="0"/>
                <w:numId w:val="3"/>
              </w:numPr>
              <w:spacing w:before="156" w:beforeLines="50" w:after="156" w:afterLines="50"/>
              <w:rPr>
                <w:rFonts w:ascii="Times New Roman" w:hAnsi="Times New Roman" w:eastAsia="仿宋" w:cs="Times New Roman"/>
                <w:sz w:val="24"/>
                <w:highlight w:val="none"/>
              </w:rPr>
            </w:pPr>
            <w:r>
              <w:rPr>
                <w:rFonts w:hint="eastAsia" w:ascii="Times New Roman" w:hAnsi="Times New Roman" w:eastAsia="仿宋" w:cs="Times New Roman"/>
                <w:sz w:val="24"/>
                <w:highlight w:val="none"/>
              </w:rPr>
              <w:t>上述所有最终报告</w:t>
            </w:r>
          </w:p>
        </w:tc>
        <w:tc>
          <w:tcPr>
            <w:tcW w:w="1033" w:type="pct"/>
            <w:vAlign w:val="center"/>
          </w:tcPr>
          <w:p w14:paraId="543E0A2F">
            <w:pPr>
              <w:spacing w:before="156" w:beforeLines="50" w:after="156" w:afterLines="50"/>
              <w:jc w:val="center"/>
              <w:rPr>
                <w:rFonts w:ascii="Times New Roman" w:hAnsi="Times New Roman" w:eastAsia="仿宋" w:cs="Times New Roman"/>
                <w:sz w:val="24"/>
                <w:szCs w:val="24"/>
                <w:highlight w:val="none"/>
              </w:rPr>
            </w:pPr>
            <w:r>
              <w:rPr>
                <w:rFonts w:hint="eastAsia" w:ascii="Times New Roman" w:hAnsi="Times New Roman" w:eastAsia="仿宋" w:cs="Times New Roman"/>
                <w:sz w:val="24"/>
                <w:highlight w:val="none"/>
              </w:rPr>
              <w:t>合同签署后9个月内</w:t>
            </w:r>
          </w:p>
        </w:tc>
        <w:tc>
          <w:tcPr>
            <w:tcW w:w="782" w:type="pct"/>
            <w:vAlign w:val="center"/>
          </w:tcPr>
          <w:p w14:paraId="543E0A30">
            <w:pPr>
              <w:spacing w:before="156" w:beforeLines="50" w:after="156" w:afterLines="50"/>
              <w:jc w:val="center"/>
              <w:rPr>
                <w:rFonts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35</w:t>
            </w:r>
            <w:r>
              <w:rPr>
                <w:rFonts w:ascii="Times New Roman" w:hAnsi="Times New Roman" w:eastAsia="仿宋" w:cs="Times New Roman"/>
                <w:sz w:val="24"/>
                <w:szCs w:val="24"/>
                <w:highlight w:val="none"/>
              </w:rPr>
              <w:t>%</w:t>
            </w:r>
          </w:p>
        </w:tc>
      </w:tr>
    </w:tbl>
    <w:p w14:paraId="543E0A32">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承担单位</w:t>
      </w:r>
      <w:r>
        <w:rPr>
          <w:rFonts w:ascii="Times New Roman" w:hAnsi="Times New Roman" w:eastAsia="仿宋" w:cs="Times New Roman"/>
          <w:sz w:val="28"/>
          <w:szCs w:val="28"/>
          <w:highlight w:val="none"/>
        </w:rPr>
        <w:t>应在项目建议书中制定详细的项目时间表，明确各项交付成果的提交时间安排。交付成果提交及付款的最终时间安排以合同条款与条件为准。</w:t>
      </w:r>
    </w:p>
    <w:p w14:paraId="543E0A33">
      <w:pPr>
        <w:ind w:firstLine="560" w:firstLineChars="200"/>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根据分包合同实施的实际情况，经双方协商一致，可对合同进行适当的修订或续签。</w:t>
      </w:r>
    </w:p>
    <w:p w14:paraId="543E0A34">
      <w:pPr>
        <w:pStyle w:val="3"/>
        <w:keepNext w:val="0"/>
        <w:keepLines w:val="0"/>
        <w:snapToGrid/>
        <w:spacing w:before="0" w:after="0"/>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六、咨询服务单位资质及团队要求</w:t>
      </w:r>
    </w:p>
    <w:p w14:paraId="543E0A35">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lang w:val="en-US" w:eastAsia="zh-CN"/>
          <w14:textFill>
            <w14:solidFill>
              <w14:schemeClr w14:val="tx1"/>
            </w14:solidFill>
          </w14:textFill>
        </w:rPr>
        <w:t xml:space="preserve">6.1 </w:t>
      </w:r>
      <w:r>
        <w:rPr>
          <w:rFonts w:ascii="Times New Roman" w:hAnsi="Times New Roman" w:eastAsia="仿宋" w:cs="Times New Roman"/>
          <w:color w:val="000000" w:themeColor="text1"/>
          <w:sz w:val="28"/>
          <w:szCs w:val="28"/>
          <w:highlight w:val="none"/>
          <w14:textFill>
            <w14:solidFill>
              <w14:schemeClr w14:val="tx1"/>
            </w14:solidFill>
          </w14:textFill>
        </w:rPr>
        <w:t>课题承接单位要求</w:t>
      </w:r>
    </w:p>
    <w:p w14:paraId="1B96FC18">
      <w:pPr>
        <w:widowControl/>
        <w:overflowPunct w:val="0"/>
        <w:autoSpaceDE w:val="0"/>
        <w:autoSpaceDN w:val="0"/>
        <w:adjustRightInd w:val="0"/>
        <w:spacing w:line="360" w:lineRule="auto"/>
        <w:ind w:firstLine="562" w:firstLineChars="200"/>
        <w:textAlignment w:val="baseline"/>
        <w:outlineLvl w:val="9"/>
        <w:rPr>
          <w:rFonts w:hint="eastAsia" w:ascii="Times New Roman" w:hAnsi="Times New Roman" w:eastAsia="仿宋" w:cs="Times New Roman"/>
          <w:color w:val="000000" w:themeColor="text1"/>
          <w:sz w:val="28"/>
          <w:szCs w:val="28"/>
          <w:highlight w:val="none"/>
          <w14:textFill>
            <w14:solidFill>
              <w14:schemeClr w14:val="tx1"/>
            </w14:solidFill>
          </w14:textFill>
        </w:rPr>
      </w:pPr>
      <w:r>
        <w:rPr>
          <w:rFonts w:hint="default" w:ascii="Times New Roman" w:hAnsi="Times New Roman" w:eastAsia="仿宋" w:cs="Times New Roman"/>
          <w:b/>
          <w:bCs/>
          <w:sz w:val="28"/>
          <w:szCs w:val="28"/>
          <w:highlight w:val="none"/>
        </w:rPr>
        <w:t>本项目允许联合体参与投标，联合体各方应满足本工作任务大纲所要求的资质条件，且需满足《中华人民共和国政府采购法》第二十二条规定，并明确牵头单位和参与单位的各方职责分工。</w:t>
      </w:r>
    </w:p>
    <w:p w14:paraId="543E0A36">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本项目分包任务旨在从行业技术层面和政策评估层面开展研究和评估，要求承担单位具备以下经验：</w:t>
      </w:r>
    </w:p>
    <w:p w14:paraId="543E0A37">
      <w:pPr>
        <w:numPr>
          <w:ilvl w:val="0"/>
          <w:numId w:val="4"/>
        </w:numPr>
        <w:autoSpaceDE w:val="0"/>
        <w:autoSpaceDN w:val="0"/>
        <w:adjustRightInd w:val="0"/>
        <w:spacing w:line="600" w:lineRule="exact"/>
        <w:ind w:left="845" w:hanging="425" w:firstLineChars="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对全国碳排放权交易市场建设相关政策、要求、发展方向具有深刻的认识，</w:t>
      </w:r>
      <w:r>
        <w:rPr>
          <w:rFonts w:hint="eastAsia" w:ascii="Times New Roman" w:hAnsi="Times New Roman" w:eastAsia="仿宋" w:cs="Times New Roman"/>
          <w:sz w:val="28"/>
          <w:szCs w:val="28"/>
          <w:highlight w:val="none"/>
          <w:lang w:eastAsia="zh-CN"/>
        </w:rPr>
        <w:t>熟悉</w:t>
      </w:r>
      <w:r>
        <w:rPr>
          <w:rFonts w:hint="eastAsia" w:ascii="Times New Roman" w:hAnsi="Times New Roman" w:eastAsia="仿宋" w:cs="Times New Roman"/>
          <w:sz w:val="28"/>
          <w:szCs w:val="28"/>
          <w:highlight w:val="none"/>
        </w:rPr>
        <w:t>铝冶炼行业工艺流程、碳排放特点</w:t>
      </w:r>
      <w:r>
        <w:rPr>
          <w:rFonts w:hint="eastAsia" w:ascii="Times New Roman" w:hAnsi="Times New Roman" w:eastAsia="仿宋" w:cs="Times New Roman"/>
          <w:sz w:val="28"/>
          <w:szCs w:val="28"/>
          <w:highlight w:val="none"/>
          <w:lang w:eastAsia="zh-CN"/>
        </w:rPr>
        <w:t>及</w:t>
      </w:r>
      <w:r>
        <w:rPr>
          <w:rFonts w:hint="eastAsia" w:ascii="Times New Roman" w:hAnsi="Times New Roman" w:eastAsia="仿宋" w:cs="Times New Roman"/>
          <w:sz w:val="28"/>
          <w:szCs w:val="28"/>
          <w:highlight w:val="none"/>
          <w:lang w:val="en-US" w:eastAsia="zh-CN"/>
        </w:rPr>
        <w:t>MRV体系的技术规范与实践进展</w:t>
      </w:r>
      <w:r>
        <w:rPr>
          <w:rFonts w:hint="eastAsia" w:ascii="Times New Roman" w:hAnsi="Times New Roman" w:eastAsia="仿宋" w:cs="Times New Roman"/>
          <w:sz w:val="28"/>
          <w:szCs w:val="28"/>
          <w:highlight w:val="none"/>
        </w:rPr>
        <w:t>；</w:t>
      </w:r>
    </w:p>
    <w:p w14:paraId="62937D8A">
      <w:pPr>
        <w:numPr>
          <w:ilvl w:val="0"/>
          <w:numId w:val="4"/>
        </w:numPr>
        <w:autoSpaceDE w:val="0"/>
        <w:autoSpaceDN w:val="0"/>
        <w:adjustRightInd w:val="0"/>
        <w:spacing w:line="600" w:lineRule="exact"/>
        <w:ind w:left="845" w:hanging="425" w:firstLineChars="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具有承担国家级或省部级政策研究项目的经历，特别是与碳市场、铝冶炼行业、碳排放数据管理等相关的政策咨询和决策支持研究经验；</w:t>
      </w:r>
    </w:p>
    <w:p w14:paraId="543E0A38">
      <w:pPr>
        <w:numPr>
          <w:ilvl w:val="0"/>
          <w:numId w:val="4"/>
        </w:numPr>
        <w:autoSpaceDE w:val="0"/>
        <w:autoSpaceDN w:val="0"/>
        <w:adjustRightInd w:val="0"/>
        <w:spacing w:line="600" w:lineRule="exact"/>
        <w:ind w:left="845" w:hanging="425" w:firstLineChars="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具备协调典型铝冶炼企业提供现场调研支持</w:t>
      </w:r>
      <w:r>
        <w:rPr>
          <w:rFonts w:hint="eastAsia" w:ascii="Times New Roman" w:hAnsi="Times New Roman" w:eastAsia="仿宋" w:cs="Times New Roman"/>
          <w:sz w:val="28"/>
          <w:szCs w:val="28"/>
          <w:highlight w:val="none"/>
          <w:lang w:eastAsia="zh-CN"/>
        </w:rPr>
        <w:t>的能力</w:t>
      </w:r>
      <w:r>
        <w:rPr>
          <w:rFonts w:hint="eastAsia" w:ascii="Times New Roman" w:hAnsi="Times New Roman" w:eastAsia="仿宋" w:cs="Times New Roman"/>
          <w:sz w:val="28"/>
          <w:szCs w:val="28"/>
          <w:highlight w:val="none"/>
        </w:rPr>
        <w:t>，能够有效组织与铝冶炼企业、核查机构、行业协会、主管部门等利益相关方的调研访谈和专题研讨会；</w:t>
      </w:r>
    </w:p>
    <w:p w14:paraId="543E0A3A">
      <w:pPr>
        <w:numPr>
          <w:ilvl w:val="0"/>
          <w:numId w:val="4"/>
        </w:numPr>
        <w:autoSpaceDE w:val="0"/>
        <w:autoSpaceDN w:val="0"/>
        <w:adjustRightInd w:val="0"/>
        <w:spacing w:line="600" w:lineRule="exact"/>
        <w:ind w:left="845" w:hanging="425" w:firstLineChars="0"/>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sz w:val="28"/>
          <w:szCs w:val="28"/>
          <w:highlight w:val="none"/>
        </w:rPr>
        <w:t>具备国际交流合作基础，能够获取国际碳市场铝冶炼行业配额管理及MRV体系的最新动态和实践经验。</w:t>
      </w:r>
    </w:p>
    <w:p w14:paraId="543E0A3B">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lang w:val="en-US" w:eastAsia="zh-CN"/>
          <w14:textFill>
            <w14:solidFill>
              <w14:schemeClr w14:val="tx1"/>
            </w14:solidFill>
          </w14:textFill>
        </w:rPr>
        <w:t xml:space="preserve">6.2 </w:t>
      </w:r>
      <w:r>
        <w:rPr>
          <w:rFonts w:ascii="Times New Roman" w:hAnsi="Times New Roman" w:eastAsia="仿宋" w:cs="Times New Roman"/>
          <w:color w:val="000000" w:themeColor="text1"/>
          <w:sz w:val="28"/>
          <w:szCs w:val="28"/>
          <w:highlight w:val="none"/>
          <w14:textFill>
            <w14:solidFill>
              <w14:schemeClr w14:val="tx1"/>
            </w14:solidFill>
          </w14:textFill>
        </w:rPr>
        <w:t>课题研究团队要求</w:t>
      </w:r>
    </w:p>
    <w:p w14:paraId="543E0A3C">
      <w:pPr>
        <w:numPr>
          <w:ilvl w:val="0"/>
          <w:numId w:val="5"/>
        </w:numPr>
        <w:adjustRightInd w:val="0"/>
        <w:snapToGrid w:val="0"/>
        <w:spacing w:line="360" w:lineRule="auto"/>
        <w:ind w:left="845" w:hanging="425" w:firstLineChars="0"/>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项目团队</w:t>
      </w:r>
      <w:r>
        <w:rPr>
          <w:rFonts w:hint="eastAsia" w:ascii="Times New Roman" w:hAnsi="Times New Roman" w:eastAsia="仿宋" w:cs="Times New Roman"/>
          <w:color w:val="000000" w:themeColor="text1"/>
          <w:sz w:val="28"/>
          <w:szCs w:val="28"/>
          <w:highlight w:val="none"/>
          <w:lang w:eastAsia="zh-CN"/>
          <w14:textFill>
            <w14:solidFill>
              <w14:schemeClr w14:val="tx1"/>
            </w14:solidFill>
          </w14:textFill>
        </w:rPr>
        <w:t>应</w:t>
      </w:r>
      <w:r>
        <w:rPr>
          <w:rFonts w:hint="eastAsia" w:ascii="Times New Roman" w:hAnsi="Times New Roman" w:eastAsia="仿宋" w:cs="Times New Roman"/>
          <w:color w:val="000000" w:themeColor="text1"/>
          <w:sz w:val="28"/>
          <w:szCs w:val="28"/>
          <w:highlight w:val="none"/>
          <w14:textFill>
            <w14:solidFill>
              <w14:schemeClr w14:val="tx1"/>
            </w14:solidFill>
          </w14:textFill>
        </w:rPr>
        <w:t>不少于</w:t>
      </w:r>
      <w:r>
        <w:rPr>
          <w:rFonts w:ascii="Times New Roman" w:hAnsi="Times New Roman" w:eastAsia="仿宋" w:cs="Times New Roman"/>
          <w:color w:val="000000" w:themeColor="text1"/>
          <w:sz w:val="28"/>
          <w:szCs w:val="28"/>
          <w:highlight w:val="none"/>
          <w14:textFill>
            <w14:solidFill>
              <w14:schemeClr w14:val="tx1"/>
            </w14:solidFill>
          </w14:textFill>
        </w:rPr>
        <w:t>10人，</w:t>
      </w:r>
      <w:r>
        <w:rPr>
          <w:rFonts w:hint="eastAsia" w:ascii="Times New Roman" w:hAnsi="Times New Roman" w:eastAsia="仿宋" w:cs="Times New Roman"/>
          <w:color w:val="000000" w:themeColor="text1"/>
          <w:sz w:val="28"/>
          <w:szCs w:val="28"/>
          <w:highlight w:val="none"/>
          <w:lang w:eastAsia="zh-CN"/>
          <w14:textFill>
            <w14:solidFill>
              <w14:schemeClr w14:val="tx1"/>
            </w14:solidFill>
          </w14:textFill>
        </w:rPr>
        <w:t>确保</w:t>
      </w:r>
      <w:r>
        <w:rPr>
          <w:rFonts w:hint="eastAsia" w:ascii="Times New Roman" w:hAnsi="Times New Roman" w:eastAsia="仿宋" w:cs="Times New Roman"/>
          <w:color w:val="000000" w:themeColor="text1"/>
          <w:sz w:val="28"/>
          <w:szCs w:val="28"/>
          <w:highlight w:val="none"/>
          <w14:textFill>
            <w14:solidFill>
              <w14:schemeClr w14:val="tx1"/>
            </w14:solidFill>
          </w14:textFill>
        </w:rPr>
        <w:t>项目实施有充足且专业的人员</w:t>
      </w:r>
      <w:r>
        <w:rPr>
          <w:rFonts w:hint="eastAsia" w:ascii="Times New Roman" w:hAnsi="Times New Roman" w:eastAsia="仿宋" w:cs="Times New Roman"/>
          <w:color w:val="000000" w:themeColor="text1"/>
          <w:sz w:val="28"/>
          <w:szCs w:val="28"/>
          <w:highlight w:val="none"/>
          <w:lang w:eastAsia="zh-CN"/>
          <w14:textFill>
            <w14:solidFill>
              <w14:schemeClr w14:val="tx1"/>
            </w14:solidFill>
          </w14:textFill>
        </w:rPr>
        <w:t>投入</w:t>
      </w:r>
      <w:r>
        <w:rPr>
          <w:rFonts w:hint="eastAsia" w:ascii="Times New Roman" w:hAnsi="Times New Roman" w:eastAsia="仿宋" w:cs="Times New Roman"/>
          <w:color w:val="000000" w:themeColor="text1"/>
          <w:sz w:val="28"/>
          <w:szCs w:val="28"/>
          <w:highlight w:val="none"/>
          <w14:textFill>
            <w14:solidFill>
              <w14:schemeClr w14:val="tx1"/>
            </w14:solidFill>
          </w14:textFill>
        </w:rPr>
        <w:t>。团队构成应</w:t>
      </w:r>
      <w:r>
        <w:rPr>
          <w:rFonts w:hint="eastAsia" w:ascii="Times New Roman" w:hAnsi="Times New Roman" w:eastAsia="仿宋" w:cs="Times New Roman"/>
          <w:color w:val="000000" w:themeColor="text1"/>
          <w:sz w:val="28"/>
          <w:szCs w:val="28"/>
          <w:highlight w:val="none"/>
          <w:lang w:eastAsia="zh-CN"/>
          <w14:textFill>
            <w14:solidFill>
              <w14:schemeClr w14:val="tx1"/>
            </w14:solidFill>
          </w14:textFill>
        </w:rPr>
        <w:t>至少包括</w:t>
      </w:r>
      <w:r>
        <w:rPr>
          <w:rFonts w:hint="eastAsia" w:ascii="Times New Roman" w:hAnsi="Times New Roman" w:eastAsia="仿宋" w:cs="Times New Roman"/>
          <w:color w:val="000000" w:themeColor="text1"/>
          <w:sz w:val="28"/>
          <w:szCs w:val="28"/>
          <w:highlight w:val="none"/>
          <w14:textFill>
            <w14:solidFill>
              <w14:schemeClr w14:val="tx1"/>
            </w14:solidFill>
          </w14:textFill>
        </w:rPr>
        <w:t>研究人员、项目与财务管理人员、环境社会风险管控人员等。</w:t>
      </w:r>
    </w:p>
    <w:p w14:paraId="543E0A3D">
      <w:pPr>
        <w:numPr>
          <w:ilvl w:val="0"/>
          <w:numId w:val="5"/>
        </w:numPr>
        <w:adjustRightInd w:val="0"/>
        <w:snapToGrid w:val="0"/>
        <w:spacing w:line="360" w:lineRule="auto"/>
        <w:ind w:left="845" w:hanging="425" w:firstLineChars="0"/>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项目团队应</w:t>
      </w:r>
      <w:r>
        <w:rPr>
          <w:rFonts w:ascii="Times New Roman" w:hAnsi="Times New Roman" w:eastAsia="仿宋" w:cs="Times New Roman"/>
          <w:color w:val="000000" w:themeColor="text1"/>
          <w:sz w:val="28"/>
          <w:szCs w:val="28"/>
          <w:highlight w:val="none"/>
          <w14:textFill>
            <w14:solidFill>
              <w14:schemeClr w14:val="tx1"/>
            </w14:solidFill>
          </w14:textFill>
        </w:rPr>
        <w:t>设置项目负责人，负责项目总体规划、任务部署</w:t>
      </w:r>
      <w:r>
        <w:rPr>
          <w:rFonts w:hint="eastAsia" w:ascii="Times New Roman" w:hAnsi="Times New Roman" w:eastAsia="仿宋" w:cs="Times New Roman"/>
          <w:color w:val="000000" w:themeColor="text1"/>
          <w:sz w:val="28"/>
          <w:szCs w:val="28"/>
          <w:highlight w:val="none"/>
          <w:lang w:eastAsia="zh-CN"/>
          <w14:textFill>
            <w14:solidFill>
              <w14:schemeClr w14:val="tx1"/>
            </w14:solidFill>
          </w14:textFill>
        </w:rPr>
        <w:t>、</w:t>
      </w:r>
      <w:r>
        <w:rPr>
          <w:rFonts w:ascii="Times New Roman" w:hAnsi="Times New Roman" w:eastAsia="仿宋" w:cs="Times New Roman"/>
          <w:color w:val="000000" w:themeColor="text1"/>
          <w:sz w:val="28"/>
          <w:szCs w:val="28"/>
          <w:highlight w:val="none"/>
          <w14:textFill>
            <w14:solidFill>
              <w14:schemeClr w14:val="tx1"/>
            </w14:solidFill>
          </w14:textFill>
        </w:rPr>
        <w:t>进度把控</w:t>
      </w:r>
      <w:r>
        <w:rPr>
          <w:rFonts w:hint="eastAsia" w:ascii="Times New Roman" w:hAnsi="Times New Roman" w:eastAsia="仿宋" w:cs="Times New Roman"/>
          <w:color w:val="000000" w:themeColor="text1"/>
          <w:sz w:val="28"/>
          <w:szCs w:val="28"/>
          <w:highlight w:val="none"/>
          <w:lang w:eastAsia="zh-CN"/>
          <w14:textFill>
            <w14:solidFill>
              <w14:schemeClr w14:val="tx1"/>
            </w14:solidFill>
          </w14:textFill>
        </w:rPr>
        <w:t>及成果质量</w:t>
      </w:r>
      <w:r>
        <w:rPr>
          <w:rFonts w:ascii="Times New Roman" w:hAnsi="Times New Roman" w:eastAsia="仿宋" w:cs="Times New Roman"/>
          <w:color w:val="000000" w:themeColor="text1"/>
          <w:sz w:val="28"/>
          <w:szCs w:val="28"/>
          <w:highlight w:val="none"/>
          <w14:textFill>
            <w14:solidFill>
              <w14:schemeClr w14:val="tx1"/>
            </w14:solidFill>
          </w14:textFill>
        </w:rPr>
        <w:t>等工作，</w:t>
      </w:r>
      <w:r>
        <w:rPr>
          <w:rFonts w:hint="eastAsia" w:ascii="Times New Roman" w:hAnsi="Times New Roman" w:eastAsia="仿宋" w:cs="Times New Roman"/>
          <w:color w:val="000000" w:themeColor="text1"/>
          <w:sz w:val="28"/>
          <w:szCs w:val="28"/>
          <w:highlight w:val="none"/>
          <w:lang w:eastAsia="zh-CN"/>
          <w14:textFill>
            <w14:solidFill>
              <w14:schemeClr w14:val="tx1"/>
            </w14:solidFill>
          </w14:textFill>
        </w:rPr>
        <w:t>且应具备以下条件：</w:t>
      </w:r>
    </w:p>
    <w:p w14:paraId="494DEA63">
      <w:pPr>
        <w:numPr>
          <w:ilvl w:val="0"/>
          <w:numId w:val="6"/>
        </w:numPr>
        <w:adjustRightInd w:val="0"/>
        <w:snapToGrid w:val="0"/>
        <w:spacing w:line="360" w:lineRule="auto"/>
        <w:ind w:firstLine="0" w:firstLineChars="0"/>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在碳市场、铝冶炼行业碳排放管理、环境政策或能源经济等领域具有</w:t>
      </w:r>
      <w:r>
        <w:rPr>
          <w:rFonts w:hint="eastAsia" w:ascii="Times New Roman" w:hAnsi="Times New Roman" w:eastAsia="仿宋" w:cs="Times New Roman"/>
          <w:color w:val="000000" w:themeColor="text1"/>
          <w:sz w:val="28"/>
          <w:szCs w:val="28"/>
          <w:highlight w:val="none"/>
          <w:lang w:val="en-US" w:eastAsia="zh-CN"/>
          <w14:textFill>
            <w14:solidFill>
              <w14:schemeClr w14:val="tx1"/>
            </w14:solidFill>
          </w14:textFill>
        </w:rPr>
        <w:t>5</w:t>
      </w:r>
      <w:r>
        <w:rPr>
          <w:rFonts w:hint="eastAsia" w:ascii="Times New Roman" w:hAnsi="Times New Roman" w:eastAsia="仿宋" w:cs="Times New Roman"/>
          <w:color w:val="000000" w:themeColor="text1"/>
          <w:sz w:val="28"/>
          <w:szCs w:val="28"/>
          <w:highlight w:val="none"/>
          <w14:textFill>
            <w14:solidFill>
              <w14:schemeClr w14:val="tx1"/>
            </w14:solidFill>
          </w14:textFill>
        </w:rPr>
        <w:t>年以上研究或政策咨询经验；或作为项目负责人，承担过至少</w:t>
      </w:r>
      <w:r>
        <w:rPr>
          <w:rFonts w:hint="eastAsia" w:ascii="Times New Roman" w:hAnsi="Times New Roman" w:eastAsia="仿宋" w:cs="Times New Roman"/>
          <w:color w:val="000000" w:themeColor="text1"/>
          <w:sz w:val="28"/>
          <w:szCs w:val="28"/>
          <w:highlight w:val="none"/>
          <w:lang w:eastAsia="zh-CN"/>
          <w14:textFill>
            <w14:solidFill>
              <w14:schemeClr w14:val="tx1"/>
            </w14:solidFill>
          </w14:textFill>
        </w:rPr>
        <w:t>1</w:t>
      </w:r>
      <w:r>
        <w:rPr>
          <w:rFonts w:hint="eastAsia" w:ascii="Times New Roman" w:hAnsi="Times New Roman" w:eastAsia="仿宋" w:cs="Times New Roman"/>
          <w:color w:val="000000" w:themeColor="text1"/>
          <w:sz w:val="28"/>
          <w:szCs w:val="28"/>
          <w:highlight w:val="none"/>
          <w14:textFill>
            <w14:solidFill>
              <w14:schemeClr w14:val="tx1"/>
            </w14:solidFill>
          </w14:textFill>
        </w:rPr>
        <w:t>项国家部委或省级政府委托的碳市场、铝冶炼行业配额管理或MRV体系相关重大研究项目。</w:t>
      </w:r>
    </w:p>
    <w:p w14:paraId="52D599EA">
      <w:pPr>
        <w:numPr>
          <w:ilvl w:val="0"/>
          <w:numId w:val="5"/>
        </w:numPr>
        <w:adjustRightInd w:val="0"/>
        <w:snapToGrid w:val="0"/>
        <w:spacing w:line="360" w:lineRule="auto"/>
        <w:ind w:left="845" w:hanging="425" w:firstLineChars="0"/>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sz w:val="28"/>
          <w:szCs w:val="28"/>
          <w:highlight w:val="none"/>
          <w:lang w:eastAsia="zh-CN"/>
        </w:rPr>
        <w:t>项目团队应配备与工作大纲内容相符的研究人员，以支撑全部工作任务的完成，项目研究团队人员构成应满足以下条件：</w:t>
      </w:r>
    </w:p>
    <w:p w14:paraId="1BB7B47B">
      <w:pPr>
        <w:numPr>
          <w:ilvl w:val="0"/>
          <w:numId w:val="6"/>
        </w:numPr>
        <w:adjustRightInd w:val="0"/>
        <w:snapToGrid w:val="0"/>
        <w:spacing w:line="360" w:lineRule="auto"/>
        <w:ind w:firstLine="0" w:firstLineChars="0"/>
        <w:rPr>
          <w:rFonts w:hint="eastAsia"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b/>
          <w:bCs/>
          <w:color w:val="000000" w:themeColor="text1"/>
          <w:sz w:val="28"/>
          <w:szCs w:val="28"/>
          <w:highlight w:val="none"/>
          <w14:textFill>
            <w14:solidFill>
              <w14:schemeClr w14:val="tx1"/>
            </w14:solidFill>
          </w14:textFill>
        </w:rPr>
        <w:t>铝冶炼行业配额管理研究方向</w:t>
      </w:r>
    </w:p>
    <w:p w14:paraId="17AC1B1C">
      <w:pPr>
        <w:numPr>
          <w:ilvl w:val="2"/>
          <w:numId w:val="6"/>
        </w:numPr>
        <w:adjustRightInd w:val="0"/>
        <w:snapToGrid w:val="0"/>
        <w:spacing w:line="360" w:lineRule="auto"/>
        <w:ind w:left="2100" w:hanging="420" w:firstLineChars="0"/>
        <w:rPr>
          <w:rFonts w:hint="eastAsia"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在碳排放权交易或铝冶炼行业经济政策领域具有</w:t>
      </w:r>
      <w:r>
        <w:rPr>
          <w:rFonts w:hint="eastAsia" w:ascii="Times New Roman" w:hAnsi="Times New Roman" w:eastAsia="仿宋" w:cs="Times New Roman"/>
          <w:color w:val="000000" w:themeColor="text1"/>
          <w:sz w:val="28"/>
          <w:szCs w:val="28"/>
          <w:highlight w:val="none"/>
          <w:lang w:eastAsia="zh-CN"/>
          <w14:textFill>
            <w14:solidFill>
              <w14:schemeClr w14:val="tx1"/>
            </w14:solidFill>
          </w14:textFill>
        </w:rPr>
        <w:t>3</w:t>
      </w:r>
      <w:r>
        <w:rPr>
          <w:rFonts w:hint="eastAsia" w:ascii="Times New Roman" w:hAnsi="Times New Roman" w:eastAsia="仿宋" w:cs="Times New Roman"/>
          <w:color w:val="000000" w:themeColor="text1"/>
          <w:sz w:val="28"/>
          <w:szCs w:val="28"/>
          <w:highlight w:val="none"/>
          <w14:textFill>
            <w14:solidFill>
              <w14:schemeClr w14:val="tx1"/>
            </w14:solidFill>
          </w14:textFill>
        </w:rPr>
        <w:t>年以上工作经验，或曾以主要技术人员身份承担过铝冶炼行业配额分配方案</w:t>
      </w:r>
      <w:r>
        <w:rPr>
          <w:rFonts w:hint="eastAsia" w:ascii="Times New Roman" w:hAnsi="Times New Roman" w:eastAsia="仿宋" w:cs="Times New Roman"/>
          <w:color w:val="000000" w:themeColor="text1"/>
          <w:sz w:val="28"/>
          <w:szCs w:val="28"/>
          <w:highlight w:val="none"/>
          <w:lang w:eastAsia="zh-CN"/>
          <w14:textFill>
            <w14:solidFill>
              <w14:schemeClr w14:val="tx1"/>
            </w14:solidFill>
          </w14:textFill>
        </w:rPr>
        <w:t>相关</w:t>
      </w:r>
      <w:r>
        <w:rPr>
          <w:rFonts w:hint="eastAsia" w:ascii="Times New Roman" w:hAnsi="Times New Roman" w:eastAsia="仿宋" w:cs="Times New Roman"/>
          <w:color w:val="000000" w:themeColor="text1"/>
          <w:sz w:val="28"/>
          <w:szCs w:val="28"/>
          <w:highlight w:val="none"/>
          <w14:textFill>
            <w14:solidFill>
              <w14:schemeClr w14:val="tx1"/>
            </w14:solidFill>
          </w14:textFill>
        </w:rPr>
        <w:t>项目；</w:t>
      </w:r>
    </w:p>
    <w:p w14:paraId="6DE40077">
      <w:pPr>
        <w:numPr>
          <w:ilvl w:val="2"/>
          <w:numId w:val="6"/>
        </w:numPr>
        <w:adjustRightInd w:val="0"/>
        <w:snapToGrid w:val="0"/>
        <w:spacing w:line="360" w:lineRule="auto"/>
        <w:ind w:left="2100" w:hanging="420" w:firstLineChars="0"/>
        <w:rPr>
          <w:rFonts w:hint="eastAsia"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熟悉全国碳排放权交易市场铝冶炼行业配额分配机制（包括基准线法、行业平衡值、总量控制路径等），具备系统性梳理和评估能力。</w:t>
      </w:r>
    </w:p>
    <w:p w14:paraId="45DE6AA4">
      <w:pPr>
        <w:numPr>
          <w:ilvl w:val="0"/>
          <w:numId w:val="6"/>
        </w:numPr>
        <w:adjustRightInd w:val="0"/>
        <w:snapToGrid w:val="0"/>
        <w:spacing w:line="360" w:lineRule="auto"/>
        <w:ind w:firstLine="0" w:firstLineChars="0"/>
        <w:rPr>
          <w:rFonts w:hint="eastAsia" w:ascii="Times New Roman" w:hAnsi="Times New Roman" w:eastAsia="仿宋" w:cs="Times New Roman"/>
          <w:b/>
          <w:bCs/>
          <w:color w:val="000000" w:themeColor="text1"/>
          <w:sz w:val="28"/>
          <w:szCs w:val="28"/>
          <w:highlight w:val="none"/>
          <w14:textFill>
            <w14:solidFill>
              <w14:schemeClr w14:val="tx1"/>
            </w14:solidFill>
          </w14:textFill>
        </w:rPr>
      </w:pPr>
      <w:r>
        <w:rPr>
          <w:rFonts w:hint="eastAsia" w:ascii="Times New Roman" w:hAnsi="Times New Roman" w:eastAsia="仿宋" w:cs="Times New Roman"/>
          <w:b/>
          <w:bCs/>
          <w:color w:val="000000" w:themeColor="text1"/>
          <w:sz w:val="28"/>
          <w:szCs w:val="28"/>
          <w:highlight w:val="none"/>
          <w14:textFill>
            <w14:solidFill>
              <w14:schemeClr w14:val="tx1"/>
            </w14:solidFill>
          </w14:textFill>
        </w:rPr>
        <w:t>铝冶炼行业MRV体系研究方向</w:t>
      </w:r>
    </w:p>
    <w:p w14:paraId="10BC046D">
      <w:pPr>
        <w:numPr>
          <w:ilvl w:val="2"/>
          <w:numId w:val="6"/>
        </w:numPr>
        <w:adjustRightInd w:val="0"/>
        <w:snapToGrid w:val="0"/>
        <w:spacing w:line="360" w:lineRule="auto"/>
        <w:ind w:left="2100" w:hanging="420" w:firstLineChars="0"/>
        <w:rPr>
          <w:rFonts w:hint="eastAsia"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在碳排放核算、报告与核查领域具有</w:t>
      </w:r>
      <w:r>
        <w:rPr>
          <w:rFonts w:hint="eastAsia" w:ascii="Times New Roman" w:hAnsi="Times New Roman" w:eastAsia="仿宋" w:cs="Times New Roman"/>
          <w:color w:val="000000" w:themeColor="text1"/>
          <w:sz w:val="28"/>
          <w:szCs w:val="28"/>
          <w:highlight w:val="none"/>
          <w:lang w:eastAsia="zh-CN"/>
          <w14:textFill>
            <w14:solidFill>
              <w14:schemeClr w14:val="tx1"/>
            </w14:solidFill>
          </w14:textFill>
        </w:rPr>
        <w:t>3</w:t>
      </w:r>
      <w:r>
        <w:rPr>
          <w:rFonts w:hint="eastAsia" w:ascii="Times New Roman" w:hAnsi="Times New Roman" w:eastAsia="仿宋" w:cs="Times New Roman"/>
          <w:color w:val="000000" w:themeColor="text1"/>
          <w:sz w:val="28"/>
          <w:szCs w:val="28"/>
          <w:highlight w:val="none"/>
          <w14:textFill>
            <w14:solidFill>
              <w14:schemeClr w14:val="tx1"/>
            </w14:solidFill>
          </w14:textFill>
        </w:rPr>
        <w:t>年以上工作经验，或曾以主要技术人员身份参与过铝冶炼行业MRV指南修订或核查技术规范制定项目；</w:t>
      </w:r>
    </w:p>
    <w:p w14:paraId="6812B65E">
      <w:pPr>
        <w:numPr>
          <w:ilvl w:val="2"/>
          <w:numId w:val="6"/>
        </w:numPr>
        <w:adjustRightInd w:val="0"/>
        <w:snapToGrid w:val="0"/>
        <w:spacing w:line="360" w:lineRule="auto"/>
        <w:ind w:left="2100" w:hanging="420" w:firstLineChars="0"/>
        <w:rPr>
          <w:rFonts w:hint="eastAsia"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熟悉《企业温室气体排放核算与报告指南 铝冶炼行业》及核查相关技术规范，能够诊断核算难点和数据质量薄弱环节。</w:t>
      </w:r>
    </w:p>
    <w:p w14:paraId="1A9B297E">
      <w:pPr>
        <w:numPr>
          <w:ilvl w:val="0"/>
          <w:numId w:val="6"/>
        </w:numPr>
        <w:adjustRightInd w:val="0"/>
        <w:snapToGrid w:val="0"/>
        <w:spacing w:line="360" w:lineRule="auto"/>
        <w:ind w:firstLine="0" w:firstLineChars="0"/>
        <w:rPr>
          <w:rFonts w:hint="eastAsia" w:ascii="Times New Roman" w:hAnsi="Times New Roman" w:eastAsia="仿宋" w:cs="Times New Roman"/>
          <w:b/>
          <w:bCs/>
          <w:color w:val="000000" w:themeColor="text1"/>
          <w:sz w:val="28"/>
          <w:szCs w:val="28"/>
          <w:highlight w:val="none"/>
          <w14:textFill>
            <w14:solidFill>
              <w14:schemeClr w14:val="tx1"/>
            </w14:solidFill>
          </w14:textFill>
        </w:rPr>
      </w:pPr>
      <w:r>
        <w:rPr>
          <w:rFonts w:hint="eastAsia" w:ascii="Times New Roman" w:hAnsi="Times New Roman" w:eastAsia="仿宋" w:cs="Times New Roman"/>
          <w:b/>
          <w:bCs/>
          <w:color w:val="000000" w:themeColor="text1"/>
          <w:sz w:val="28"/>
          <w:szCs w:val="28"/>
          <w:highlight w:val="none"/>
          <w14:textFill>
            <w14:solidFill>
              <w14:schemeClr w14:val="tx1"/>
            </w14:solidFill>
          </w14:textFill>
        </w:rPr>
        <w:t>国际经验对比分析方向</w:t>
      </w:r>
    </w:p>
    <w:p w14:paraId="2A4B66E1">
      <w:pPr>
        <w:numPr>
          <w:ilvl w:val="2"/>
          <w:numId w:val="6"/>
        </w:numPr>
        <w:adjustRightInd w:val="0"/>
        <w:snapToGrid w:val="0"/>
        <w:spacing w:line="360" w:lineRule="auto"/>
        <w:ind w:left="2100" w:hanging="420" w:firstLineChars="0"/>
        <w:rPr>
          <w:rFonts w:hint="eastAsia"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在国际碳市场或铝冶炼行业碳管理政策研究领域具有3年以上工作经验，具备以英文开展研究工作的能力；</w:t>
      </w:r>
    </w:p>
    <w:p w14:paraId="27201DA4">
      <w:pPr>
        <w:numPr>
          <w:ilvl w:val="2"/>
          <w:numId w:val="6"/>
        </w:numPr>
        <w:adjustRightInd w:val="0"/>
        <w:snapToGrid w:val="0"/>
        <w:spacing w:line="360" w:lineRule="auto"/>
        <w:ind w:left="2100" w:hanging="420" w:firstLineChars="0"/>
        <w:rPr>
          <w:rFonts w:hint="eastAsia"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熟悉国际主要碳市场（如欧盟ETS、韩国ETS等）铝冶炼行业配额管理及MRV体系的制度设计与实践经验。</w:t>
      </w:r>
    </w:p>
    <w:p w14:paraId="3B6E6089">
      <w:pPr>
        <w:numPr>
          <w:ilvl w:val="0"/>
          <w:numId w:val="6"/>
        </w:numPr>
        <w:adjustRightInd w:val="0"/>
        <w:snapToGrid w:val="0"/>
        <w:spacing w:line="360" w:lineRule="auto"/>
        <w:ind w:firstLine="0" w:firstLineChars="0"/>
        <w:rPr>
          <w:rFonts w:hint="eastAsia" w:ascii="Times New Roman" w:hAnsi="Times New Roman" w:eastAsia="仿宋" w:cs="Times New Roman"/>
          <w:b/>
          <w:bCs/>
          <w:color w:val="000000" w:themeColor="text1"/>
          <w:sz w:val="28"/>
          <w:szCs w:val="28"/>
          <w:highlight w:val="none"/>
          <w14:textFill>
            <w14:solidFill>
              <w14:schemeClr w14:val="tx1"/>
            </w14:solidFill>
          </w14:textFill>
        </w:rPr>
      </w:pPr>
      <w:r>
        <w:rPr>
          <w:rFonts w:hint="eastAsia" w:ascii="Times New Roman" w:hAnsi="Times New Roman" w:eastAsia="仿宋" w:cs="Times New Roman"/>
          <w:b/>
          <w:bCs/>
          <w:color w:val="000000" w:themeColor="text1"/>
          <w:sz w:val="28"/>
          <w:szCs w:val="28"/>
          <w:highlight w:val="none"/>
          <w14:textFill>
            <w14:solidFill>
              <w14:schemeClr w14:val="tx1"/>
            </w14:solidFill>
          </w14:textFill>
        </w:rPr>
        <w:t>企业诉求调研与数据分析方向</w:t>
      </w:r>
    </w:p>
    <w:p w14:paraId="0D826D6A">
      <w:pPr>
        <w:numPr>
          <w:ilvl w:val="2"/>
          <w:numId w:val="6"/>
        </w:numPr>
        <w:adjustRightInd w:val="0"/>
        <w:snapToGrid w:val="0"/>
        <w:spacing w:line="360" w:lineRule="auto"/>
        <w:ind w:left="2100" w:hanging="420" w:firstLineChars="0"/>
        <w:rPr>
          <w:rFonts w:hint="eastAsia"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在铝冶炼行业企业调研、数据收集与分析领域具有3年以上工作经历，或曾以主要技术人员身份参与过铝冶炼企业碳排放数据统计分析或问卷调研项目；</w:t>
      </w:r>
    </w:p>
    <w:p w14:paraId="7161F3A3">
      <w:pPr>
        <w:numPr>
          <w:ilvl w:val="2"/>
          <w:numId w:val="6"/>
        </w:numPr>
        <w:adjustRightInd w:val="0"/>
        <w:snapToGrid w:val="0"/>
        <w:spacing w:line="360" w:lineRule="auto"/>
        <w:ind w:left="2100" w:hanging="420" w:firstLineChars="0"/>
        <w:rPr>
          <w:rFonts w:hint="eastAsia"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具备设计问卷、组织调研访谈、处理企业级碳排放数据的能力。</w:t>
      </w:r>
    </w:p>
    <w:p w14:paraId="78B113E8">
      <w:pPr>
        <w:numPr>
          <w:ilvl w:val="0"/>
          <w:numId w:val="6"/>
        </w:numPr>
        <w:adjustRightInd w:val="0"/>
        <w:snapToGrid w:val="0"/>
        <w:spacing w:line="360" w:lineRule="auto"/>
        <w:ind w:firstLine="0" w:firstLineChars="0"/>
        <w:rPr>
          <w:rFonts w:hint="eastAsia" w:ascii="Times New Roman" w:hAnsi="Times New Roman" w:eastAsia="仿宋" w:cs="Times New Roman"/>
          <w:b/>
          <w:bCs/>
          <w:color w:val="000000" w:themeColor="text1"/>
          <w:sz w:val="28"/>
          <w:szCs w:val="28"/>
          <w:highlight w:val="none"/>
          <w14:textFill>
            <w14:solidFill>
              <w14:schemeClr w14:val="tx1"/>
            </w14:solidFill>
          </w14:textFill>
        </w:rPr>
      </w:pPr>
      <w:r>
        <w:rPr>
          <w:rFonts w:hint="eastAsia" w:ascii="Times New Roman" w:hAnsi="Times New Roman" w:eastAsia="仿宋" w:cs="Times New Roman"/>
          <w:b/>
          <w:bCs/>
          <w:color w:val="000000" w:themeColor="text1"/>
          <w:sz w:val="28"/>
          <w:szCs w:val="28"/>
          <w:highlight w:val="none"/>
          <w14:textFill>
            <w14:solidFill>
              <w14:schemeClr w14:val="tx1"/>
            </w14:solidFill>
          </w14:textFill>
        </w:rPr>
        <w:t>其他辅助研究人员</w:t>
      </w:r>
    </w:p>
    <w:p w14:paraId="0DC229CE">
      <w:pPr>
        <w:numPr>
          <w:ilvl w:val="2"/>
          <w:numId w:val="6"/>
        </w:numPr>
        <w:adjustRightInd w:val="0"/>
        <w:snapToGrid w:val="0"/>
        <w:spacing w:line="360" w:lineRule="auto"/>
        <w:ind w:left="2100" w:hanging="420" w:firstLineChars="0"/>
        <w:rPr>
          <w:rFonts w:hint="eastAsia"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根据研究工作实际需要，配备在相关研究领域具有2年以上工作经验的成员；</w:t>
      </w:r>
    </w:p>
    <w:p w14:paraId="127B93BA">
      <w:pPr>
        <w:numPr>
          <w:ilvl w:val="2"/>
          <w:numId w:val="6"/>
        </w:numPr>
        <w:adjustRightInd w:val="0"/>
        <w:snapToGrid w:val="0"/>
        <w:spacing w:line="360" w:lineRule="auto"/>
        <w:ind w:left="2100" w:hanging="420" w:firstLineChars="0"/>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具备承担资料收集、数据分析、报告撰写、会议组织等技术支持工作的能力。</w:t>
      </w:r>
    </w:p>
    <w:p w14:paraId="543E0A41">
      <w:pPr>
        <w:numPr>
          <w:ilvl w:val="0"/>
          <w:numId w:val="5"/>
        </w:numPr>
        <w:adjustRightInd w:val="0"/>
        <w:snapToGrid w:val="0"/>
        <w:spacing w:line="360" w:lineRule="auto"/>
        <w:ind w:left="845" w:hanging="425" w:firstLineChars="0"/>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lang w:eastAsia="zh-CN"/>
          <w14:textFill>
            <w14:solidFill>
              <w14:schemeClr w14:val="tx1"/>
            </w14:solidFill>
          </w14:textFill>
        </w:rPr>
        <w:t>项目团队还应配备了解世界银行或多边国际组织环境社会背景或具有相关环境社会影响与风险管理经验的环境专家和社会专家各1人，按照世界银行《环境和社会框架》（ESF）政策要求，识别、评估本咨询服务活动涉及的潜在环境和社会风险及影响，提出相应的处置和缓解措施建议；负责各交付成果中环境与社会影响分析章节的撰写；协助制定并实施信息公开计划及公众参与计划；接受项目管理办公室所聘请的环境社会专家的监督和指导。</w:t>
      </w:r>
    </w:p>
    <w:p w14:paraId="543E0A42">
      <w:pPr>
        <w:numPr>
          <w:ilvl w:val="0"/>
          <w:numId w:val="5"/>
        </w:numPr>
        <w:adjustRightInd w:val="0"/>
        <w:snapToGrid w:val="0"/>
        <w:spacing w:line="360" w:lineRule="auto"/>
        <w:ind w:left="845" w:hanging="425" w:firstLineChars="0"/>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lang w:eastAsia="zh-CN"/>
          <w14:textFill>
            <w14:solidFill>
              <w14:schemeClr w14:val="tx1"/>
            </w14:solidFill>
          </w14:textFill>
        </w:rPr>
        <w:t>项目团队需</w:t>
      </w:r>
      <w:r>
        <w:rPr>
          <w:rFonts w:hint="eastAsia" w:ascii="Times New Roman" w:hAnsi="Times New Roman" w:eastAsia="仿宋" w:cs="Times New Roman"/>
          <w:color w:val="000000" w:themeColor="text1"/>
          <w:sz w:val="28"/>
          <w:szCs w:val="28"/>
          <w:highlight w:val="none"/>
          <w14:textFill>
            <w14:solidFill>
              <w14:schemeClr w14:val="tx1"/>
            </w14:solidFill>
          </w14:textFill>
        </w:rPr>
        <w:t>配备财务管理</w:t>
      </w:r>
      <w:r>
        <w:rPr>
          <w:rFonts w:ascii="Times New Roman" w:hAnsi="Times New Roman" w:eastAsia="仿宋" w:cs="Times New Roman"/>
          <w:color w:val="000000" w:themeColor="text1"/>
          <w:sz w:val="28"/>
          <w:szCs w:val="28"/>
          <w:highlight w:val="none"/>
          <w14:textFill>
            <w14:solidFill>
              <w14:schemeClr w14:val="tx1"/>
            </w14:solidFill>
          </w14:textFill>
        </w:rPr>
        <w:t>1</w:t>
      </w:r>
      <w:r>
        <w:rPr>
          <w:rFonts w:hint="eastAsia" w:ascii="Times New Roman" w:hAnsi="Times New Roman" w:eastAsia="仿宋" w:cs="Times New Roman"/>
          <w:color w:val="000000" w:themeColor="text1"/>
          <w:sz w:val="28"/>
          <w:szCs w:val="28"/>
          <w:highlight w:val="none"/>
          <w14:textFill>
            <w14:solidFill>
              <w14:schemeClr w14:val="tx1"/>
            </w14:solidFill>
          </w14:textFill>
        </w:rPr>
        <w:t>人，按照世界银行相关政策要求，负责本项目财务日常管理、编制项目财务报告，并配合提交项目监督管理及审计所需的所有资料。</w:t>
      </w:r>
    </w:p>
    <w:p w14:paraId="543E0A43">
      <w:pPr>
        <w:pStyle w:val="3"/>
        <w:keepNext w:val="0"/>
        <w:keepLines w:val="0"/>
        <w:snapToGrid/>
        <w:spacing w:before="0" w:after="0"/>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七、环境社会风险要求</w:t>
      </w:r>
    </w:p>
    <w:p w14:paraId="543E0A44">
      <w:pPr>
        <w:ind w:firstLine="420" w:firstLineChars="15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本咨询服务分包项目的设计和实施，应依据世界银行《环境和社会管理框架》及世界银行的《技术援助与环境社会框架指南》中的相关要求，按照项目的《环境社会管理框架》中制定的环境社会管理程序对分包任务所涉及的潜在环境和社会风险及影响进行筛选/分析和评价，并提出应对措施和建议，确保项目活动及产出符合项目制定的环境和社会管理框架（ESMF）、环境和社会承诺计划（ESCP）及利益相关方参与计划（SEP）的相关要求。</w:t>
      </w:r>
    </w:p>
    <w:p w14:paraId="543E0A45">
      <w:pPr>
        <w:ind w:firstLine="420" w:firstLineChars="15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根据项目管理办公室所聘请的环境社会专家的意见，确定本分包任务所需要准备的环境、社会文件的类型及要求（文件类型指的是根据研究课题的类型准备相应文件）。</w:t>
      </w:r>
    </w:p>
    <w:p w14:paraId="543E0A46">
      <w:pPr>
        <w:ind w:firstLine="420" w:firstLineChars="15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按照世行《技术援助与环境社会框架指南》确定是否需要编制单独的环境社会评价文件包括规划评价或战略评价报告，还是可以仅作为研究报告的一个章节。</w:t>
      </w:r>
    </w:p>
    <w:p w14:paraId="543E0A47">
      <w:pPr>
        <w:ind w:firstLine="420" w:firstLineChars="15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在环境社会专家的指导下，根据本项目活动所涉及的环境社会风险类型，并结合项目活动本身需要，召开项目利益相关方磋商会、咨询会、培训会、宣贯会及研讨会等，制定并实施信息公开计划及公众参与计划；同时根据要求，参加世界银行及项目管理办公室组织的相关环境社会风险类会议。</w:t>
      </w:r>
    </w:p>
    <w:p w14:paraId="543E0A48">
      <w:pPr>
        <w:ind w:firstLine="420" w:firstLineChars="150"/>
        <w:rPr>
          <w:rFonts w:hint="eastAsia"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根据项目管理办公室的要求，每半年提供本分包项目在环境社会风险方面所开展的工作进展，并接受项目管理办公室及其所聘请环境社会专家的监督和指导。</w:t>
      </w:r>
    </w:p>
    <w:p w14:paraId="10F4D16E">
      <w:pPr>
        <w:ind w:firstLineChars="150"/>
        <w:rPr>
          <w:rFonts w:hint="eastAsia"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所有交付成果须包含不少于一（1）页的专项环境与社会影响分析章节，内容须完整涵盖以下要素：</w:t>
      </w:r>
    </w:p>
    <w:p w14:paraId="73CE378D">
      <w:pPr>
        <w:ind w:firstLineChars="150"/>
        <w:rPr>
          <w:rFonts w:hint="eastAsia"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（1）下游影响识别：识别并分析本交付成果所提出的政策建议、技术指南或制度方案在被后续采纳和实施后，可能对区域环境、行业生产、相关社区就业及民生等方面产生的间接影响和长远风险；</w:t>
      </w:r>
    </w:p>
    <w:p w14:paraId="6D3920CF">
      <w:pPr>
        <w:ind w:firstLineChars="150"/>
        <w:rPr>
          <w:rFonts w:hint="eastAsia"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（2）弱势群体影响分析：在下游影响识别的基础上，专项评估上述政策或技术变化对弱势群体（包括但不限于低收入群体、受碳市场政策影响的特定行业从业人员及其家属）可能造成的差异性影响；</w:t>
      </w:r>
    </w:p>
    <w:p w14:paraId="1878D05F">
      <w:pPr>
        <w:ind w:firstLineChars="150"/>
        <w:rPr>
          <w:rFonts w:hint="eastAsia"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（3）缓解措施建议：针对已识别的下游影响和弱势群体风险，提出具体、可操作的缓解和应对措施建议。</w:t>
      </w:r>
    </w:p>
    <w:p w14:paraId="31AEC487">
      <w:pPr>
        <w:ind w:firstLineChars="150"/>
        <w:rPr>
          <w:rFonts w:hint="eastAsia"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上述章节的篇幅应与交付成果所涉及议题的复杂程度相适应，原则上不少于一（1）页，如研究内容涉及重大政策调整或显著社会影响，应适当增加篇幅或根据项目管理办公室环境社会专家的意见决定是否编制独立的环境社会评价文件。</w:t>
      </w:r>
    </w:p>
    <w:p w14:paraId="543E0A49">
      <w:pPr>
        <w:pStyle w:val="3"/>
        <w:keepNext w:val="0"/>
        <w:keepLines w:val="0"/>
        <w:snapToGrid/>
        <w:spacing w:before="0" w:after="0"/>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八、采购方式</w:t>
      </w:r>
    </w:p>
    <w:p w14:paraId="543E0A4A">
      <w:pPr>
        <w:spacing w:line="600" w:lineRule="exact"/>
        <w:ind w:firstLine="560" w:firstLineChars="200"/>
        <w:rPr>
          <w:rFonts w:ascii="Times New Roman" w:hAnsi="Times New Roman" w:eastAsia="仿宋"/>
          <w:sz w:val="30"/>
          <w:szCs w:val="30"/>
          <w:highlight w:val="none"/>
        </w:rPr>
      </w:pPr>
      <w:r>
        <w:rPr>
          <w:rStyle w:val="23"/>
          <w:rFonts w:hint="eastAsia" w:ascii="Times New Roman" w:hAnsi="Times New Roman" w:eastAsia="仿宋" w:cs="Times New Roman"/>
          <w:b w:val="0"/>
          <w:bCs w:val="0"/>
          <w:sz w:val="28"/>
          <w:szCs w:val="28"/>
          <w:highlight w:val="none"/>
        </w:rPr>
        <w:t>本项目分包工作任务拟采用基于咨询顾问资历的选择（CQS）方式进行采购。</w:t>
      </w:r>
    </w:p>
    <w:p w14:paraId="543E0A53">
      <w:pPr>
        <w:spacing w:line="360" w:lineRule="auto"/>
        <w:rPr>
          <w:rFonts w:ascii="Times New Roman" w:hAnsi="Times New Roman" w:eastAsia="宋体" w:cs="Times New Roman"/>
          <w:sz w:val="24"/>
          <w:szCs w:val="24"/>
          <w:highlight w:val="none"/>
        </w:rPr>
      </w:pPr>
      <w:bookmarkStart w:id="0" w:name="_GoBack"/>
      <w:bookmarkEnd w:id="0"/>
    </w:p>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2ED256B2-11E6-9EDD-0D87-686AA37BBC29}"/>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Light">
    <w:altName w:val="汉仪中等线KW"/>
    <w:panose1 w:val="02010600030101010101"/>
    <w:charset w:val="86"/>
    <w:family w:val="auto"/>
    <w:pitch w:val="default"/>
    <w:sig w:usb0="00000000" w:usb1="00000000" w:usb2="00000016" w:usb3="00000000" w:csb0="0004000F" w:csb1="00000000"/>
  </w:font>
  <w:font w:name="微软雅黑">
    <w:altName w:val="汉仪旗黑"/>
    <w:panose1 w:val="020B0503020204020204"/>
    <w:charset w:val="86"/>
    <w:family w:val="auto"/>
    <w:pitch w:val="default"/>
    <w:sig w:usb0="00000000" w:usb1="00000000" w:usb2="00000016" w:usb3="00000000" w:csb0="0004001F" w:csb1="00000000"/>
  </w:font>
  <w:font w:name="Microsoft YaHei UI">
    <w:altName w:val="苹方-简"/>
    <w:panose1 w:val="020B0503020204020204"/>
    <w:charset w:val="86"/>
    <w:family w:val="swiss"/>
    <w:pitch w:val="default"/>
    <w:sig w:usb0="00000000" w:usb1="00000000" w:usb2="00000016" w:usb3="00000000" w:csb0="0004001F" w:csb1="00000000"/>
  </w:font>
  <w:font w:name="方正小标宋简体">
    <w:altName w:val="汉仪书宋二KW"/>
    <w:panose1 w:val="02000000000000000000"/>
    <w:charset w:val="86"/>
    <w:family w:val="auto"/>
    <w:pitch w:val="default"/>
    <w:sig w:usb0="00000000" w:usb1="00000000" w:usb2="00000000" w:usb3="00000000" w:csb0="00040000" w:csb1="00000000"/>
    <w:embedRegular r:id="rId2" w:fontKey="{42E5EE94-E731-14E7-0D87-686ACD53E581}"/>
  </w:font>
  <w:font w:name="Calibri Light">
    <w:altName w:val="Helvetica Neue"/>
    <w:panose1 w:val="020F0302020204030204"/>
    <w:charset w:val="00"/>
    <w:family w:val="swiss"/>
    <w:pitch w:val="default"/>
    <w:sig w:usb0="00000000" w:usb1="00000000" w:usb2="00000009" w:usb3="00000000" w:csb0="200001FF" w:csb1="00000000"/>
    <w:embedRegular r:id="rId3" w:fontKey="{DAFDEEAD-629C-F627-0D87-686A88F4E5FE}"/>
  </w:font>
  <w:font w:name="仿宋">
    <w:altName w:val="方正仿宋_GBK"/>
    <w:panose1 w:val="02010609060101010101"/>
    <w:charset w:val="86"/>
    <w:family w:val="modern"/>
    <w:pitch w:val="default"/>
    <w:sig w:usb0="00000000" w:usb1="00000000" w:usb2="00000016" w:usb3="00000000" w:csb0="00040001" w:csb1="00000000"/>
  </w:font>
  <w:font w:name="Segoe UI">
    <w:altName w:val="苹方-简"/>
    <w:panose1 w:val="020B0502040204020203"/>
    <w:charset w:val="00"/>
    <w:family w:val="swiss"/>
    <w:pitch w:val="default"/>
    <w:sig w:usb0="00000000" w:usb1="00000000" w:usb2="00000009" w:usb3="00000000" w:csb0="200001FF" w:csb1="00000000"/>
    <w:embedRegular r:id="rId4" w:fontKey="{12E48BDD-B93E-40C2-0D87-686ACCC96722}"/>
  </w:font>
  <w:font w:name="Aptos">
    <w:altName w:val="Helvetica Neue"/>
    <w:panose1 w:val="00000000000000000000"/>
    <w:charset w:val="00"/>
    <w:family w:val="swiss"/>
    <w:pitch w:val="default"/>
    <w:sig w:usb0="00000000" w:usb1="00000000" w:usb2="00000000" w:usb3="00000000" w:csb0="0000019F" w:csb1="00000000"/>
  </w:font>
  <w:font w:name="var(--dsw-font-markdown-table-h">
    <w:altName w:val="苹方-简"/>
    <w:panose1 w:val="00000000000000000000"/>
    <w:charset w:val="00"/>
    <w:family w:val="auto"/>
    <w:pitch w:val="default"/>
    <w:sig w:usb0="00000000" w:usb1="00000000" w:usb2="00000000" w:usb3="00000000" w:csb0="00000000" w:csb1="00000000"/>
  </w:font>
  <w:font w:name="var(--dsw-font-markdown-table)">
    <w:altName w:val="苹方-简"/>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冬青黑体简体中文">
    <w:panose1 w:val="020B0300000000000000"/>
    <w:charset w:val="86"/>
    <w:family w:val="auto"/>
    <w:pitch w:val="default"/>
    <w:sig w:usb0="A00002BF" w:usb1="1ACF7CFA" w:usb2="00000016" w:usb3="00000000" w:csb0="00060007" w:csb1="00000000"/>
  </w:font>
  <w:font w:name="Helvetica Neue">
    <w:panose1 w:val="02000503000000020004"/>
    <w:charset w:val="00"/>
    <w:family w:val="auto"/>
    <w:pitch w:val="default"/>
    <w:sig w:usb0="E50002FF" w:usb1="500079DB" w:usb2="00000010" w:usb3="00000000" w:csb0="00000000" w:csb1="00000000"/>
  </w:font>
  <w:font w:name="方正仿宋_GBK">
    <w:panose1 w:val="02000000000000000000"/>
    <w:charset w:val="86"/>
    <w:family w:val="auto"/>
    <w:pitch w:val="default"/>
    <w:sig w:usb0="A00002BF" w:usb1="38CF7CFA" w:usb2="00082016" w:usb3="00000000" w:csb0="00040001" w:csb1="00000000"/>
  </w:font>
  <w:font w:name="等线 Light">
    <w:altName w:val="汉仪中等线KW"/>
    <w:panose1 w:val="00000000000000000000"/>
    <w:charset w:val="00"/>
    <w:family w:val="auto"/>
    <w:pitch w:val="default"/>
    <w:sig w:usb0="00000000" w:usb1="00000000" w:usb2="0000000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汉仪旗黑">
    <w:panose1 w:val="00020600040101010101"/>
    <w:charset w:val="86"/>
    <w:family w:val="auto"/>
    <w:pitch w:val="default"/>
    <w:sig w:usb0="A00002BF" w:usb1="1ACF7CFA" w:usb2="00000016" w:usb3="00000000" w:csb0="0004009F" w:csb1="DFD70000"/>
  </w:font>
  <w:font w:name="苹方-简">
    <w:panose1 w:val="020B0400000000000000"/>
    <w:charset w:val="86"/>
    <w:family w:val="auto"/>
    <w:pitch w:val="default"/>
    <w:sig w:usb0="A00002FF" w:usb1="7ACFFDFB" w:usb2="00000017"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E0A56">
    <w:pPr>
      <w:pStyle w:val="13"/>
      <w:jc w:val="center"/>
      <w:rPr>
        <w:rFonts w:ascii="Times New Roman" w:hAnsi="Times New Roman" w:cs="Times New Roman"/>
      </w:rPr>
    </w:pPr>
    <w:r>
      <mc:AlternateContent>
        <mc:Choice Requires="wps">
          <w:drawing>
            <wp:anchor distT="0" distB="0" distL="0" distR="0" simplePos="0" relativeHeight="251659264" behindDoc="0" locked="0" layoutInCell="1" allowOverlap="1">
              <wp:simplePos x="0" y="0"/>
              <wp:positionH relativeFrom="page">
                <wp:align>right</wp:align>
              </wp:positionH>
              <wp:positionV relativeFrom="page">
                <wp:align>bottom</wp:align>
              </wp:positionV>
              <wp:extent cx="1170305" cy="345440"/>
              <wp:effectExtent l="0" t="0" r="0" b="0"/>
              <wp:wrapNone/>
              <wp:docPr id="1922332536" name="Text Box 3" descr="Official Use Only"/>
              <wp:cNvGraphicFramePr/>
              <a:graphic xmlns:a="http://schemas.openxmlformats.org/drawingml/2006/main">
                <a:graphicData uri="http://schemas.microsoft.com/office/word/2010/wordprocessingShape">
                  <wps:wsp>
                    <wps:cNvSpPr txBox="1"/>
                    <wps:spPr>
                      <a:xfrm>
                        <a:off x="0" y="0"/>
                        <a:ext cx="1170305" cy="345440"/>
                      </a:xfrm>
                      <a:prstGeom prst="rect">
                        <a:avLst/>
                      </a:prstGeom>
                      <a:noFill/>
                      <a:ln>
                        <a:noFill/>
                      </a:ln>
                    </wps:spPr>
                    <wps:txbx>
                      <w:txbxContent>
                        <w:p w14:paraId="6444E15F">
                          <w:pPr>
                            <w:rPr>
                              <w:rFonts w:ascii="Aptos" w:hAnsi="Aptos" w:eastAsia="Aptos" w:cs="Aptos"/>
                              <w:color w:val="000000"/>
                              <w:sz w:val="20"/>
                              <w:szCs w:val="20"/>
                            </w:rPr>
                          </w:pPr>
                          <w:r>
                            <w:rPr>
                              <w:rFonts w:ascii="Aptos" w:hAnsi="Aptos" w:eastAsia="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spAutoFit/>
                    </wps:bodyPr>
                  </wps:wsp>
                </a:graphicData>
              </a:graphic>
            </wp:anchor>
          </w:drawing>
        </mc:Choice>
        <mc:Fallback>
          <w:pict>
            <v:shape id="Text Box 3" o:spid="_x0000_s1026" o:spt="202" alt="Official Use Only" type="#_x0000_t202" style="position:absolute;left:0pt;height:27.2pt;width:92.15pt;mso-position-horizontal:right;mso-position-horizontal-relative:page;mso-position-vertical:bottom;mso-position-vertical-relative:page;mso-wrap-style:none;z-index:251659264;v-text-anchor:bottom;mso-width-relative:page;mso-height-relative:page;" filled="f" stroked="f" coordsize="21600,21600" o:gfxdata="UEsDBAoAAAAAAIdO4kAAAAAAAAAAAAAAAAAEAAAAZHJzL1BLAwQUAAAACACHTuJAS4kvdtUAAAAE&#10;AQAADwAAAGRycy9kb3ducmV2LnhtbE2PQUvDQBCF74L/YRnBi9hNNYaSZlKw4EGQglXsdZMdk9Dd&#10;2bC7Tdt/79aLXgYe7/HeN9XqZI2YyIfBMcJ8loEgbp0euEP4/Hi5X4AIUbFWxjEhnCnAqr6+qlSp&#10;3ZHfadrGTqQSDqVC6GMcSylD25NVYeZG4uR9O29VTNJ3Unt1TOXWyIcsK6RVA6eFXo207qndbw8W&#10;4fkufDVve39+3eSu2E3rwoybAvH2Zp4tQUQ6xb8wXPATOtSJqXEH1kEYhPRI/L0Xb5E/gmgQnvIc&#10;ZF3J//D1D1BLAwQUAAAACACHTuJAW6X6bj0CAAB3BAAADgAAAGRycy9lMm9Eb2MueG1srVRNb9sw&#10;DL0P2H8QdF/tfHVtUKfIGmQYECwF2mJnRZZrAfqCpMTOfv2e5KTduh162EWmSOqRfCR9c9trRQ7C&#10;B2lNRUcXJSXCcFtL81zRp8f1pytKQmSmZsoaUdGjCPR28fHDTefmYmxbq2rhCUBMmHeuom2Mbl4U&#10;gbdCs3BhnTAwNtZrFnH1z0XtWQd0rYpxWV4WnfW185aLEKBdDUZ6QvTvAbRNI7lYWb7XwsQB1QvF&#10;IkoKrXSBLnK2TSN43DZNEJGoiqLSmE8EgbxLZ7G4YfNnz1wr+SkF9p4U3tSkmTQI+gK1YpGRvZd/&#10;QWnJvQ22iRfc6mIoJDOCKkblG24eWuZErgVUB/dCevh/sPz74d4TWWMSrsfjyWQ8m1xSYphG5x9F&#10;H8kX25MJJbUIHLSBTMklU+QpCLI16pgI7FyYA+fBASn2eACwsz5AmXjpG6/TFxUT2EH/8YX+FIan&#10;R6PP5aScUcJhm0xn02nuT/H62vkQvwqrSRIq6tHezDo7bEJEJnA9u6Rgxq6lUrnFyvyhgGPSFCn1&#10;IcUkxX7Xn+rZ2fqIcrwdJiY4vpaIuWEh3jOPEUEFWKK4xdEo21XUniRKWut//kuf/NE5WCnpMHIV&#10;NdgwStQ3g46m6TwLPgvj2bQs06Dm2+i6nKWb2es7i2keYU0dzyK0Pqqz2Hirf2DHlikaTMxwxKzo&#10;7izexWEBsKNcLJfZCdPoWNyYB8cTdCIruOU+gsFMbKJn4OTEGuYx833anTTwv9+z1+v/YvE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S4kvdtUAAAAEAQAADwAAAAAAAAABACAAAAAiAAAAZHJzL2Rv&#10;d25yZXYueG1sUEsBAhQAFAAAAAgAh07iQFul+m49AgAAdwQAAA4AAAAAAAAAAQAgAAAAJAEAAGRy&#10;cy9lMm9Eb2MueG1sUEsFBgAAAAAGAAYAWQEAANMFAAAAAA==&#10;">
              <v:fill on="f" focussize="0,0"/>
              <v:stroke on="f"/>
              <v:imagedata o:title=""/>
              <o:lock v:ext="edit" aspectratio="f"/>
              <v:textbox inset="0mm,0mm,20pt,15pt" style="mso-fit-shape-to-text:t;">
                <w:txbxContent>
                  <w:p w14:paraId="6444E15F">
                    <w:pPr>
                      <w:rPr>
                        <w:rFonts w:ascii="Aptos" w:hAnsi="Aptos" w:eastAsia="Aptos" w:cs="Aptos"/>
                        <w:color w:val="000000"/>
                        <w:sz w:val="20"/>
                        <w:szCs w:val="20"/>
                      </w:rPr>
                    </w:pPr>
                    <w:r>
                      <w:rPr>
                        <w:rFonts w:ascii="Aptos" w:hAnsi="Aptos" w:eastAsia="Aptos" w:cs="Aptos"/>
                        <w:color w:val="000000"/>
                        <w:sz w:val="20"/>
                        <w:szCs w:val="20"/>
                      </w:rPr>
                      <w:t>Official Use Only</w:t>
                    </w:r>
                  </w:p>
                </w:txbxContent>
              </v:textbox>
            </v:shape>
          </w:pict>
        </mc:Fallback>
      </mc:AlternateContent>
    </w:r>
    <w:sdt>
      <w:sdtPr>
        <w:id w:val="-1"/>
      </w:sdtPr>
      <w:sdtEndPr>
        <w:rPr>
          <w:rFonts w:ascii="Times New Roman" w:hAnsi="Times New Roman" w:cs="Times New Roman"/>
        </w:rPr>
      </w:sdtEndPr>
      <w:sdtContent>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2</w:t>
        </w:r>
        <w:r>
          <w:rPr>
            <w:rFonts w:ascii="Times New Roman" w:hAnsi="Times New Roman" w:cs="Times New Roman"/>
          </w:rPr>
          <w:fldChar w:fldCharType="end"/>
        </w:r>
      </w:sdtContent>
    </w:sdt>
  </w:p>
  <w:p w14:paraId="543E0A57">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0">
    <w:p>
      <w:r>
        <w:separator/>
      </w:r>
    </w:p>
  </w:footnote>
  <w:footnote w:type="continuationSeparator" w:id="11">
    <w:p>
      <w:r>
        <w:continuationSeparator/>
      </w:r>
    </w:p>
  </w:footnote>
  <w:footnote w:id="0">
    <w:p w14:paraId="543E0A58">
      <w:pPr>
        <w:pStyle w:val="16"/>
      </w:pPr>
      <w:r>
        <w:rPr>
          <w:rStyle w:val="26"/>
        </w:rPr>
        <w:footnoteRef/>
      </w:r>
      <w:r>
        <w:t xml:space="preserve"> </w:t>
      </w:r>
      <w:r>
        <w:rPr>
          <w:rFonts w:hint="eastAsia" w:ascii="Times New Roman" w:hAnsi="Times New Roman"/>
        </w:rPr>
        <w:t>PMI-3分包任务旨在研究扩大ETS行业覆盖范围及完善国家ETS配额体系。</w:t>
      </w:r>
    </w:p>
  </w:footnote>
  <w:footnote w:id="1">
    <w:p w14:paraId="543E0A59">
      <w:pPr>
        <w:pStyle w:val="16"/>
      </w:pPr>
      <w:r>
        <w:rPr>
          <w:rStyle w:val="26"/>
        </w:rPr>
        <w:footnoteRef/>
      </w:r>
      <w:r>
        <w:t xml:space="preserve"> </w:t>
      </w:r>
      <w:r>
        <w:rPr>
          <w:rFonts w:ascii="Times New Roman" w:hAnsi="Times New Roman" w:cs="Segoe UI"/>
          <w:color w:val="0F1115"/>
          <w:szCs w:val="18"/>
          <w:shd w:val="clear" w:color="auto" w:fill="FFFFFF"/>
        </w:rPr>
        <w:t>PMI‑4分包</w:t>
      </w:r>
      <w:r>
        <w:rPr>
          <w:rFonts w:hint="eastAsia" w:ascii="Times New Roman" w:hAnsi="Times New Roman" w:cs="Segoe UI"/>
          <w:color w:val="0F1115"/>
          <w:szCs w:val="18"/>
          <w:shd w:val="clear" w:color="auto" w:fill="FFFFFF"/>
        </w:rPr>
        <w:t>任务</w:t>
      </w:r>
      <w:r>
        <w:rPr>
          <w:rFonts w:ascii="Times New Roman" w:hAnsi="Times New Roman" w:cs="Segoe UI"/>
          <w:color w:val="0F1115"/>
          <w:szCs w:val="18"/>
          <w:shd w:val="clear" w:color="auto" w:fill="FFFFFF"/>
        </w:rPr>
        <w:t>旨在研究提升ETS监管能力与加强数据管理平台建设、CCER制度实施效果评估及优化相关技术</w:t>
      </w:r>
      <w:r>
        <w:rPr>
          <w:rFonts w:hint="eastAsia" w:ascii="Times New Roman" w:hAnsi="Times New Roman" w:cs="Segoe UI"/>
          <w:color w:val="0F1115"/>
          <w:szCs w:val="18"/>
          <w:shd w:val="clear" w:color="auto" w:fill="FFFFFF"/>
        </w:rPr>
        <w:t>。</w:t>
      </w:r>
    </w:p>
  </w:footnote>
  <w:footnote w:id="2">
    <w:p w14:paraId="543E0A5A">
      <w:pPr>
        <w:pStyle w:val="16"/>
      </w:pPr>
      <w:r>
        <w:rPr>
          <w:rStyle w:val="26"/>
        </w:rPr>
        <w:footnoteRef/>
      </w:r>
      <w:r>
        <w:t xml:space="preserve"> </w:t>
      </w:r>
      <w:r>
        <w:rPr>
          <w:rFonts w:hint="eastAsia" w:ascii="Times New Roman" w:hAnsi="Times New Roman"/>
        </w:rPr>
        <w:t>PMI-17分包任务旨在通过开展检查、开发培训材料、监督咨询/检测/核查技术服务机构、修订方法学或指南等方式加强ETS和CCER的MRV监督与管理。</w:t>
      </w:r>
    </w:p>
  </w:footnote>
  <w:footnote w:id="3">
    <w:p w14:paraId="63765950">
      <w:pPr>
        <w:pStyle w:val="16"/>
        <w:snapToGrid w:val="0"/>
      </w:pPr>
      <w:r>
        <w:rPr>
          <w:rStyle w:val="26"/>
        </w:rPr>
        <w:footnoteRef/>
      </w:r>
      <w:r>
        <w:t xml:space="preserve"> </w:t>
      </w:r>
      <w:r>
        <w:rPr>
          <w:rFonts w:hint="eastAsia"/>
        </w:rPr>
        <w:t>钢铁、水泥、铝冶炼行业平衡值是按照《2024、2025 年度全国碳排放权交易市场钢铁、水泥、铝冶炼行业配额总量和分配方案》规定的配额分配方法，基于各行业全部重点排放单位当年度碳排放核查结果，测算得到的各行业碳排放配额总量与应清缴配额总量（经核查排放量）相等时对应的主要工序碳排放强度水平，反映了各行业总体碳排放绩效（基准水平），是确定各企业（生产线、工序）碳排放强度偏离度和碳排放强度系数的重要依据，可通过全国碳市场管理平台进行查询。</w:t>
      </w:r>
    </w:p>
  </w:footnote>
  <w:footnote w:id="4">
    <w:p w14:paraId="543E0A5B">
      <w:pPr>
        <w:pStyle w:val="16"/>
      </w:pPr>
      <w:r>
        <w:rPr>
          <w:rStyle w:val="26"/>
        </w:rPr>
        <w:footnoteRef/>
      </w:r>
      <w:r>
        <w:t xml:space="preserve"> </w:t>
      </w:r>
      <w:r>
        <w:rPr>
          <w:rFonts w:hint="eastAsia" w:ascii="Times New Roman" w:hAnsi="Times New Roman" w:eastAsia="宋体" w:cs="Times New Roman"/>
          <w:szCs w:val="18"/>
        </w:rPr>
        <w:t>中国市场伙伴实施基金赠款项目（P504267）的项目文件。</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B355A2"/>
    <w:multiLevelType w:val="singleLevel"/>
    <w:tmpl w:val="DBB355A2"/>
    <w:lvl w:ilvl="0" w:tentative="0">
      <w:start w:val="1"/>
      <w:numFmt w:val="lowerLetter"/>
      <w:lvlText w:val="%1."/>
      <w:lvlJc w:val="left"/>
      <w:pPr>
        <w:tabs>
          <w:tab w:val="left" w:pos="420"/>
        </w:tabs>
        <w:ind w:left="845" w:hanging="425"/>
      </w:pPr>
      <w:rPr>
        <w:rFonts w:hint="default"/>
      </w:rPr>
    </w:lvl>
  </w:abstractNum>
  <w:abstractNum w:abstractNumId="1">
    <w:nsid w:val="DE964910"/>
    <w:multiLevelType w:val="singleLevel"/>
    <w:tmpl w:val="DE964910"/>
    <w:lvl w:ilvl="0" w:tentative="0">
      <w:start w:val="1"/>
      <w:numFmt w:val="lowerLetter"/>
      <w:lvlText w:val="%1."/>
      <w:lvlJc w:val="left"/>
      <w:pPr>
        <w:tabs>
          <w:tab w:val="left" w:pos="420"/>
        </w:tabs>
        <w:ind w:left="845" w:hanging="425"/>
      </w:pPr>
      <w:rPr>
        <w:rFonts w:hint="default"/>
      </w:rPr>
    </w:lvl>
  </w:abstractNum>
  <w:abstractNum w:abstractNumId="2">
    <w:nsid w:val="F79F99E7"/>
    <w:multiLevelType w:val="multilevel"/>
    <w:tmpl w:val="F79F99E7"/>
    <w:lvl w:ilvl="0" w:tentative="0">
      <w:start w:val="1"/>
      <w:numFmt w:val="bullet"/>
      <w:lvlText w:val=""/>
      <w:lvlJc w:val="left"/>
      <w:pPr>
        <w:tabs>
          <w:tab w:val="left" w:pos="840"/>
        </w:tabs>
        <w:ind w:left="1260" w:hanging="420"/>
      </w:pPr>
      <w:rPr>
        <w:rFonts w:hint="default" w:ascii="Wingdings" w:hAnsi="Wingdings"/>
        <w:b w:val="0"/>
        <w:bCs w:val="0"/>
      </w:rPr>
    </w:lvl>
    <w:lvl w:ilvl="1" w:tentative="0">
      <w:start w:val="1"/>
      <w:numFmt w:val="bullet"/>
      <w:lvlText w:val=""/>
      <w:lvlJc w:val="left"/>
      <w:pPr>
        <w:tabs>
          <w:tab w:val="left" w:pos="840"/>
        </w:tabs>
        <w:ind w:left="1680" w:hanging="420"/>
      </w:pPr>
      <w:rPr>
        <w:rFonts w:hint="default" w:ascii="Wingdings" w:hAnsi="Wingdings"/>
      </w:rPr>
    </w:lvl>
    <w:lvl w:ilvl="2" w:tentative="0">
      <w:start w:val="1"/>
      <w:numFmt w:val="bullet"/>
      <w:lvlText w:val=""/>
      <w:lvlJc w:val="left"/>
      <w:pPr>
        <w:tabs>
          <w:tab w:val="left" w:pos="1260"/>
        </w:tabs>
        <w:ind w:left="2100" w:hanging="420"/>
      </w:pPr>
      <w:rPr>
        <w:rFonts w:hint="default" w:ascii="Wingdings" w:hAnsi="Wingdings"/>
      </w:rPr>
    </w:lvl>
    <w:lvl w:ilvl="3" w:tentative="0">
      <w:start w:val="1"/>
      <w:numFmt w:val="bullet"/>
      <w:lvlText w:val=""/>
      <w:lvlJc w:val="left"/>
      <w:pPr>
        <w:tabs>
          <w:tab w:val="left" w:pos="1680"/>
        </w:tabs>
        <w:ind w:left="2520" w:hanging="420"/>
      </w:pPr>
      <w:rPr>
        <w:rFonts w:hint="default" w:ascii="Wingdings" w:hAnsi="Wingdings"/>
      </w:rPr>
    </w:lvl>
    <w:lvl w:ilvl="4" w:tentative="0">
      <w:start w:val="1"/>
      <w:numFmt w:val="bullet"/>
      <w:lvlText w:val=""/>
      <w:lvlJc w:val="left"/>
      <w:pPr>
        <w:tabs>
          <w:tab w:val="left" w:pos="2100"/>
        </w:tabs>
        <w:ind w:left="2940" w:hanging="420"/>
      </w:pPr>
      <w:rPr>
        <w:rFonts w:hint="default" w:ascii="Wingdings" w:hAnsi="Wingdings"/>
      </w:rPr>
    </w:lvl>
    <w:lvl w:ilvl="5" w:tentative="0">
      <w:start w:val="1"/>
      <w:numFmt w:val="bullet"/>
      <w:lvlText w:val=""/>
      <w:lvlJc w:val="left"/>
      <w:pPr>
        <w:tabs>
          <w:tab w:val="left" w:pos="2520"/>
        </w:tabs>
        <w:ind w:left="3360" w:hanging="420"/>
      </w:pPr>
      <w:rPr>
        <w:rFonts w:hint="default" w:ascii="Wingdings" w:hAnsi="Wingdings"/>
      </w:rPr>
    </w:lvl>
    <w:lvl w:ilvl="6" w:tentative="0">
      <w:start w:val="1"/>
      <w:numFmt w:val="bullet"/>
      <w:lvlText w:val=""/>
      <w:lvlJc w:val="left"/>
      <w:pPr>
        <w:tabs>
          <w:tab w:val="left" w:pos="2940"/>
        </w:tabs>
        <w:ind w:left="3780" w:hanging="420"/>
      </w:pPr>
      <w:rPr>
        <w:rFonts w:hint="default" w:ascii="Wingdings" w:hAnsi="Wingdings"/>
      </w:rPr>
    </w:lvl>
    <w:lvl w:ilvl="7" w:tentative="0">
      <w:start w:val="1"/>
      <w:numFmt w:val="bullet"/>
      <w:lvlText w:val=""/>
      <w:lvlJc w:val="left"/>
      <w:pPr>
        <w:tabs>
          <w:tab w:val="left" w:pos="3360"/>
        </w:tabs>
        <w:ind w:left="4200" w:hanging="420"/>
      </w:pPr>
      <w:rPr>
        <w:rFonts w:hint="default" w:ascii="Wingdings" w:hAnsi="Wingdings"/>
      </w:rPr>
    </w:lvl>
    <w:lvl w:ilvl="8" w:tentative="0">
      <w:start w:val="1"/>
      <w:numFmt w:val="bullet"/>
      <w:lvlText w:val=""/>
      <w:lvlJc w:val="left"/>
      <w:pPr>
        <w:tabs>
          <w:tab w:val="left" w:pos="3780"/>
        </w:tabs>
        <w:ind w:left="4620" w:hanging="420"/>
      </w:pPr>
      <w:rPr>
        <w:rFonts w:hint="default" w:ascii="Wingdings" w:hAnsi="Wingdings"/>
      </w:rPr>
    </w:lvl>
  </w:abstractNum>
  <w:abstractNum w:abstractNumId="3">
    <w:nsid w:val="3DD24FCC"/>
    <w:multiLevelType w:val="multilevel"/>
    <w:tmpl w:val="3DD24FCC"/>
    <w:lvl w:ilvl="0" w:tentative="0">
      <w:start w:val="1"/>
      <w:numFmt w:val="lowerLetter"/>
      <w:lvlText w:val="%1."/>
      <w:lvlJc w:val="left"/>
      <w:pPr>
        <w:ind w:left="360" w:hanging="360"/>
      </w:pPr>
      <w:rPr>
        <w:rFonts w:hint="default"/>
        <w:i w:val="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3ED418F5"/>
    <w:multiLevelType w:val="multilevel"/>
    <w:tmpl w:val="3ED418F5"/>
    <w:lvl w:ilvl="0" w:tentative="0">
      <w:start w:val="1"/>
      <w:numFmt w:val="lowerLetter"/>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451878E4"/>
    <w:multiLevelType w:val="multilevel"/>
    <w:tmpl w:val="451878E4"/>
    <w:lvl w:ilvl="0" w:tentative="0">
      <w:start w:val="1"/>
      <w:numFmt w:val="lowerLetter"/>
      <w:lvlText w:val="%1."/>
      <w:lvlJc w:val="left"/>
      <w:pPr>
        <w:ind w:left="360" w:hanging="360"/>
      </w:pPr>
      <w:rPr>
        <w:rFonts w:hint="default"/>
        <w:color w:val="auto"/>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3"/>
  </w:num>
  <w:num w:numId="2">
    <w:abstractNumId w:val="5"/>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10"/>
    <w:footnote w:id="11"/>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F8D"/>
    <w:rsid w:val="00024BFA"/>
    <w:rsid w:val="00044098"/>
    <w:rsid w:val="00044C28"/>
    <w:rsid w:val="00054EE0"/>
    <w:rsid w:val="00065347"/>
    <w:rsid w:val="0008210C"/>
    <w:rsid w:val="00093038"/>
    <w:rsid w:val="000B746E"/>
    <w:rsid w:val="000C270F"/>
    <w:rsid w:val="000C6AB7"/>
    <w:rsid w:val="000D49A1"/>
    <w:rsid w:val="000E5F3C"/>
    <w:rsid w:val="000F11E1"/>
    <w:rsid w:val="000F5581"/>
    <w:rsid w:val="000F5671"/>
    <w:rsid w:val="000F5EEB"/>
    <w:rsid w:val="00125644"/>
    <w:rsid w:val="00135A5C"/>
    <w:rsid w:val="001459CD"/>
    <w:rsid w:val="0014753C"/>
    <w:rsid w:val="0015197E"/>
    <w:rsid w:val="00161CD5"/>
    <w:rsid w:val="00172311"/>
    <w:rsid w:val="00174037"/>
    <w:rsid w:val="00191557"/>
    <w:rsid w:val="00195C8E"/>
    <w:rsid w:val="001B5341"/>
    <w:rsid w:val="001E2FF2"/>
    <w:rsid w:val="002030BA"/>
    <w:rsid w:val="002109F6"/>
    <w:rsid w:val="00227B69"/>
    <w:rsid w:val="00231887"/>
    <w:rsid w:val="0025551F"/>
    <w:rsid w:val="00256976"/>
    <w:rsid w:val="002614A4"/>
    <w:rsid w:val="002667A8"/>
    <w:rsid w:val="0027515A"/>
    <w:rsid w:val="002833C7"/>
    <w:rsid w:val="00293FEC"/>
    <w:rsid w:val="002A2C68"/>
    <w:rsid w:val="002A5C14"/>
    <w:rsid w:val="002A7934"/>
    <w:rsid w:val="002B4CBB"/>
    <w:rsid w:val="002B6DC8"/>
    <w:rsid w:val="002B7973"/>
    <w:rsid w:val="002C4323"/>
    <w:rsid w:val="002D0D6C"/>
    <w:rsid w:val="002D64B4"/>
    <w:rsid w:val="002F0DA7"/>
    <w:rsid w:val="002F63E5"/>
    <w:rsid w:val="0030308B"/>
    <w:rsid w:val="003101A2"/>
    <w:rsid w:val="00326B5B"/>
    <w:rsid w:val="003326F4"/>
    <w:rsid w:val="003506A2"/>
    <w:rsid w:val="0035276D"/>
    <w:rsid w:val="00353205"/>
    <w:rsid w:val="003613F8"/>
    <w:rsid w:val="00364971"/>
    <w:rsid w:val="00367F22"/>
    <w:rsid w:val="003705A0"/>
    <w:rsid w:val="003710F4"/>
    <w:rsid w:val="003B3CA3"/>
    <w:rsid w:val="003B491D"/>
    <w:rsid w:val="003C3CFF"/>
    <w:rsid w:val="003D0B40"/>
    <w:rsid w:val="003E583E"/>
    <w:rsid w:val="003F2630"/>
    <w:rsid w:val="00406780"/>
    <w:rsid w:val="00411391"/>
    <w:rsid w:val="00412913"/>
    <w:rsid w:val="00414161"/>
    <w:rsid w:val="004159D7"/>
    <w:rsid w:val="00425623"/>
    <w:rsid w:val="00431635"/>
    <w:rsid w:val="00446C1E"/>
    <w:rsid w:val="0045531E"/>
    <w:rsid w:val="0046047B"/>
    <w:rsid w:val="00464F3E"/>
    <w:rsid w:val="00471834"/>
    <w:rsid w:val="00472F13"/>
    <w:rsid w:val="004766BC"/>
    <w:rsid w:val="004832CC"/>
    <w:rsid w:val="00497E44"/>
    <w:rsid w:val="004D52CD"/>
    <w:rsid w:val="004E3C27"/>
    <w:rsid w:val="004E7628"/>
    <w:rsid w:val="00512632"/>
    <w:rsid w:val="00514A5C"/>
    <w:rsid w:val="005246E2"/>
    <w:rsid w:val="00524FF9"/>
    <w:rsid w:val="00527ABB"/>
    <w:rsid w:val="005437B0"/>
    <w:rsid w:val="00566ACA"/>
    <w:rsid w:val="0057705D"/>
    <w:rsid w:val="00592F95"/>
    <w:rsid w:val="005A1B0A"/>
    <w:rsid w:val="005A3046"/>
    <w:rsid w:val="005A44F7"/>
    <w:rsid w:val="005B5D3B"/>
    <w:rsid w:val="005B7E80"/>
    <w:rsid w:val="005C3D51"/>
    <w:rsid w:val="005C5676"/>
    <w:rsid w:val="005D1517"/>
    <w:rsid w:val="005D3897"/>
    <w:rsid w:val="005F1B76"/>
    <w:rsid w:val="005F697B"/>
    <w:rsid w:val="0060124A"/>
    <w:rsid w:val="0060429C"/>
    <w:rsid w:val="0060579F"/>
    <w:rsid w:val="0060597F"/>
    <w:rsid w:val="00606D24"/>
    <w:rsid w:val="00614282"/>
    <w:rsid w:val="00615376"/>
    <w:rsid w:val="006272FB"/>
    <w:rsid w:val="00637FA6"/>
    <w:rsid w:val="0064421B"/>
    <w:rsid w:val="00652520"/>
    <w:rsid w:val="00672196"/>
    <w:rsid w:val="006724C0"/>
    <w:rsid w:val="00683746"/>
    <w:rsid w:val="006A161F"/>
    <w:rsid w:val="006B342A"/>
    <w:rsid w:val="006D1C40"/>
    <w:rsid w:val="006F3961"/>
    <w:rsid w:val="00703431"/>
    <w:rsid w:val="00715D5D"/>
    <w:rsid w:val="007310A5"/>
    <w:rsid w:val="007340DC"/>
    <w:rsid w:val="007418EF"/>
    <w:rsid w:val="00743FCF"/>
    <w:rsid w:val="007560E8"/>
    <w:rsid w:val="007578A7"/>
    <w:rsid w:val="0076258F"/>
    <w:rsid w:val="00776F8D"/>
    <w:rsid w:val="00784EFF"/>
    <w:rsid w:val="007858A5"/>
    <w:rsid w:val="00795095"/>
    <w:rsid w:val="00795837"/>
    <w:rsid w:val="00797687"/>
    <w:rsid w:val="007B41C8"/>
    <w:rsid w:val="007C012D"/>
    <w:rsid w:val="008014C5"/>
    <w:rsid w:val="00810DCC"/>
    <w:rsid w:val="00835C14"/>
    <w:rsid w:val="00841BFB"/>
    <w:rsid w:val="008515DE"/>
    <w:rsid w:val="00855341"/>
    <w:rsid w:val="00861625"/>
    <w:rsid w:val="008619EB"/>
    <w:rsid w:val="00865754"/>
    <w:rsid w:val="0086604E"/>
    <w:rsid w:val="00871DF0"/>
    <w:rsid w:val="00877759"/>
    <w:rsid w:val="008851F7"/>
    <w:rsid w:val="00896752"/>
    <w:rsid w:val="008A02F5"/>
    <w:rsid w:val="008B5849"/>
    <w:rsid w:val="008C1C68"/>
    <w:rsid w:val="008D2C48"/>
    <w:rsid w:val="009021E9"/>
    <w:rsid w:val="00905520"/>
    <w:rsid w:val="009057DD"/>
    <w:rsid w:val="00912EE7"/>
    <w:rsid w:val="00920598"/>
    <w:rsid w:val="00926324"/>
    <w:rsid w:val="00943A2D"/>
    <w:rsid w:val="00962008"/>
    <w:rsid w:val="00970E9F"/>
    <w:rsid w:val="0099463C"/>
    <w:rsid w:val="009A25B1"/>
    <w:rsid w:val="009A34EC"/>
    <w:rsid w:val="009A6A1D"/>
    <w:rsid w:val="009B278E"/>
    <w:rsid w:val="009B35D2"/>
    <w:rsid w:val="009B5EDD"/>
    <w:rsid w:val="009B7B2B"/>
    <w:rsid w:val="009C24B5"/>
    <w:rsid w:val="009C5E0A"/>
    <w:rsid w:val="009C7854"/>
    <w:rsid w:val="009D0859"/>
    <w:rsid w:val="009D2B03"/>
    <w:rsid w:val="009D5021"/>
    <w:rsid w:val="009E3AB9"/>
    <w:rsid w:val="00A156EC"/>
    <w:rsid w:val="00A17339"/>
    <w:rsid w:val="00A233E8"/>
    <w:rsid w:val="00A309BD"/>
    <w:rsid w:val="00A46781"/>
    <w:rsid w:val="00A57C02"/>
    <w:rsid w:val="00A6712F"/>
    <w:rsid w:val="00A72838"/>
    <w:rsid w:val="00A752EB"/>
    <w:rsid w:val="00A7642A"/>
    <w:rsid w:val="00A76736"/>
    <w:rsid w:val="00A779F2"/>
    <w:rsid w:val="00A85D89"/>
    <w:rsid w:val="00AA06C9"/>
    <w:rsid w:val="00AA5801"/>
    <w:rsid w:val="00AB7800"/>
    <w:rsid w:val="00AE02B0"/>
    <w:rsid w:val="00AE2F93"/>
    <w:rsid w:val="00AF54BB"/>
    <w:rsid w:val="00AF63D2"/>
    <w:rsid w:val="00B10038"/>
    <w:rsid w:val="00B10C4F"/>
    <w:rsid w:val="00B21112"/>
    <w:rsid w:val="00B266D1"/>
    <w:rsid w:val="00B41D9D"/>
    <w:rsid w:val="00B41E76"/>
    <w:rsid w:val="00B54946"/>
    <w:rsid w:val="00B57265"/>
    <w:rsid w:val="00B70610"/>
    <w:rsid w:val="00B71E9A"/>
    <w:rsid w:val="00B725E9"/>
    <w:rsid w:val="00B937F2"/>
    <w:rsid w:val="00B94693"/>
    <w:rsid w:val="00BA085C"/>
    <w:rsid w:val="00BA6BB9"/>
    <w:rsid w:val="00BB0F1B"/>
    <w:rsid w:val="00BB2242"/>
    <w:rsid w:val="00BD01E3"/>
    <w:rsid w:val="00BD041D"/>
    <w:rsid w:val="00BD1FB1"/>
    <w:rsid w:val="00BD5ABC"/>
    <w:rsid w:val="00BF09E9"/>
    <w:rsid w:val="00C0072C"/>
    <w:rsid w:val="00C11CE4"/>
    <w:rsid w:val="00C14F4F"/>
    <w:rsid w:val="00C177B7"/>
    <w:rsid w:val="00C22393"/>
    <w:rsid w:val="00C31841"/>
    <w:rsid w:val="00C37E3F"/>
    <w:rsid w:val="00C42B15"/>
    <w:rsid w:val="00C621A7"/>
    <w:rsid w:val="00C74D74"/>
    <w:rsid w:val="00C8599C"/>
    <w:rsid w:val="00C8791C"/>
    <w:rsid w:val="00CA4169"/>
    <w:rsid w:val="00CA48B0"/>
    <w:rsid w:val="00CA74C6"/>
    <w:rsid w:val="00CD106B"/>
    <w:rsid w:val="00CD1DB1"/>
    <w:rsid w:val="00CE6992"/>
    <w:rsid w:val="00D058D1"/>
    <w:rsid w:val="00D0741B"/>
    <w:rsid w:val="00D32CE2"/>
    <w:rsid w:val="00D337F0"/>
    <w:rsid w:val="00D33E5A"/>
    <w:rsid w:val="00D35BC6"/>
    <w:rsid w:val="00D436F2"/>
    <w:rsid w:val="00D46AE0"/>
    <w:rsid w:val="00D77983"/>
    <w:rsid w:val="00D837F6"/>
    <w:rsid w:val="00D85741"/>
    <w:rsid w:val="00D95866"/>
    <w:rsid w:val="00D96D7D"/>
    <w:rsid w:val="00DA6F80"/>
    <w:rsid w:val="00DB1E4C"/>
    <w:rsid w:val="00DB3457"/>
    <w:rsid w:val="00DC10F2"/>
    <w:rsid w:val="00DD11BC"/>
    <w:rsid w:val="00DD3F0E"/>
    <w:rsid w:val="00DE0F57"/>
    <w:rsid w:val="00E04C37"/>
    <w:rsid w:val="00E0653D"/>
    <w:rsid w:val="00E12DC9"/>
    <w:rsid w:val="00E257D8"/>
    <w:rsid w:val="00E30AA6"/>
    <w:rsid w:val="00E34873"/>
    <w:rsid w:val="00E544F3"/>
    <w:rsid w:val="00E54A3D"/>
    <w:rsid w:val="00E562AB"/>
    <w:rsid w:val="00E6011F"/>
    <w:rsid w:val="00E81A17"/>
    <w:rsid w:val="00E83C2A"/>
    <w:rsid w:val="00E87E69"/>
    <w:rsid w:val="00E90C13"/>
    <w:rsid w:val="00EA4228"/>
    <w:rsid w:val="00EB4020"/>
    <w:rsid w:val="00EB4552"/>
    <w:rsid w:val="00EC135B"/>
    <w:rsid w:val="00ED0CA1"/>
    <w:rsid w:val="00EE256A"/>
    <w:rsid w:val="00EF29CF"/>
    <w:rsid w:val="00EF39C0"/>
    <w:rsid w:val="00F01C8B"/>
    <w:rsid w:val="00F13FC5"/>
    <w:rsid w:val="00F20097"/>
    <w:rsid w:val="00F24CD5"/>
    <w:rsid w:val="00F329C9"/>
    <w:rsid w:val="00F3604C"/>
    <w:rsid w:val="00F63203"/>
    <w:rsid w:val="00F74114"/>
    <w:rsid w:val="00F7470E"/>
    <w:rsid w:val="00F755D4"/>
    <w:rsid w:val="00FA5581"/>
    <w:rsid w:val="00FC7D42"/>
    <w:rsid w:val="00FD3E3E"/>
    <w:rsid w:val="00FE370E"/>
    <w:rsid w:val="00FE3CD7"/>
    <w:rsid w:val="00FE5F07"/>
    <w:rsid w:val="00FE79DE"/>
    <w:rsid w:val="00FF13BF"/>
    <w:rsid w:val="07FF1A9C"/>
    <w:rsid w:val="095B8341"/>
    <w:rsid w:val="1FFF87AF"/>
    <w:rsid w:val="37DEDDF6"/>
    <w:rsid w:val="3B92C98E"/>
    <w:rsid w:val="3DCF1D88"/>
    <w:rsid w:val="3E5E5395"/>
    <w:rsid w:val="52C938E1"/>
    <w:rsid w:val="592F60A9"/>
    <w:rsid w:val="5B5F40B6"/>
    <w:rsid w:val="5DBA5BBB"/>
    <w:rsid w:val="5DBF7CBA"/>
    <w:rsid w:val="5DEF832E"/>
    <w:rsid w:val="687624D9"/>
    <w:rsid w:val="69296666"/>
    <w:rsid w:val="6FF383F6"/>
    <w:rsid w:val="6FF46836"/>
    <w:rsid w:val="6FFE12EF"/>
    <w:rsid w:val="72FFA753"/>
    <w:rsid w:val="74DC74DF"/>
    <w:rsid w:val="75B7BA4D"/>
    <w:rsid w:val="7669A16E"/>
    <w:rsid w:val="77665D0E"/>
    <w:rsid w:val="7DEE332D"/>
    <w:rsid w:val="7E0F4110"/>
    <w:rsid w:val="7EE67C1E"/>
    <w:rsid w:val="7EE9798B"/>
    <w:rsid w:val="7F3D2127"/>
    <w:rsid w:val="7FEB7012"/>
    <w:rsid w:val="7FFE6AA7"/>
    <w:rsid w:val="9EDB8998"/>
    <w:rsid w:val="A9F749F1"/>
    <w:rsid w:val="B78E9814"/>
    <w:rsid w:val="BEEF6171"/>
    <w:rsid w:val="CBFF31F8"/>
    <w:rsid w:val="DE5B0C35"/>
    <w:rsid w:val="DF9EBFDF"/>
    <w:rsid w:val="E35F060F"/>
    <w:rsid w:val="EBFDAD6A"/>
    <w:rsid w:val="EF5B20F3"/>
    <w:rsid w:val="EF7F35D7"/>
    <w:rsid w:val="EF8E9501"/>
    <w:rsid w:val="F7BFF0F6"/>
    <w:rsid w:val="FBCE83A7"/>
    <w:rsid w:val="FBF9010C"/>
    <w:rsid w:val="FCB837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7"/>
    <w:qFormat/>
    <w:uiPriority w:val="9"/>
    <w:pPr>
      <w:keepNext/>
      <w:keepLines/>
      <w:snapToGrid w:val="0"/>
      <w:spacing w:before="80" w:after="80"/>
      <w:outlineLvl w:val="0"/>
    </w:pPr>
    <w:rPr>
      <w:rFonts w:eastAsia="宋体" w:asciiTheme="majorHAnsi" w:hAnsiTheme="majorHAnsi" w:cstheme="majorBidi"/>
      <w:color w:val="000000" w:themeColor="text1"/>
      <w:szCs w:val="48"/>
      <w14:textFill>
        <w14:solidFill>
          <w14:schemeClr w14:val="tx1"/>
        </w14:solidFill>
      </w14:textFill>
    </w:rPr>
  </w:style>
  <w:style w:type="paragraph" w:styleId="4">
    <w:name w:val="heading 2"/>
    <w:basedOn w:val="1"/>
    <w:next w:val="1"/>
    <w:link w:val="2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5">
    <w:name w:val="heading 3"/>
    <w:basedOn w:val="1"/>
    <w:next w:val="1"/>
    <w:link w:val="2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6">
    <w:name w:val="heading 4"/>
    <w:basedOn w:val="1"/>
    <w:next w:val="1"/>
    <w:link w:val="3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7">
    <w:name w:val="heading 5"/>
    <w:basedOn w:val="1"/>
    <w:next w:val="1"/>
    <w:link w:val="31"/>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8">
    <w:name w:val="heading 6"/>
    <w:basedOn w:val="1"/>
    <w:next w:val="1"/>
    <w:link w:val="32"/>
    <w:semiHidden/>
    <w:unhideWhenUsed/>
    <w:qFormat/>
    <w:uiPriority w:val="9"/>
    <w:pPr>
      <w:keepNext/>
      <w:keepLines/>
      <w:spacing w:before="40"/>
      <w:outlineLvl w:val="5"/>
    </w:pPr>
    <w:rPr>
      <w:rFonts w:cstheme="majorBidi"/>
      <w:b/>
      <w:bCs/>
      <w:color w:val="104862" w:themeColor="accent1" w:themeShade="BF"/>
    </w:rPr>
  </w:style>
  <w:style w:type="paragraph" w:styleId="9">
    <w:name w:val="heading 7"/>
    <w:basedOn w:val="1"/>
    <w:next w:val="1"/>
    <w:link w:val="3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3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3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0"/>
    <w:pPr>
      <w:spacing w:after="120"/>
      <w:ind w:firstLine="420"/>
    </w:pPr>
    <w:rPr>
      <w:rFonts w:ascii="Times New Roman" w:hAnsi="Times New Roman" w:eastAsia="宋体" w:cs="Times New Roman"/>
      <w:szCs w:val="20"/>
    </w:rPr>
  </w:style>
  <w:style w:type="paragraph" w:styleId="12">
    <w:name w:val="annotation text"/>
    <w:basedOn w:val="1"/>
    <w:link w:val="47"/>
    <w:unhideWhenUsed/>
    <w:qFormat/>
    <w:uiPriority w:val="99"/>
    <w:pPr>
      <w:jc w:val="left"/>
    </w:pPr>
  </w:style>
  <w:style w:type="paragraph" w:styleId="13">
    <w:name w:val="footer"/>
    <w:basedOn w:val="1"/>
    <w:link w:val="46"/>
    <w:unhideWhenUsed/>
    <w:qFormat/>
    <w:uiPriority w:val="99"/>
    <w:pPr>
      <w:tabs>
        <w:tab w:val="center" w:pos="4153"/>
        <w:tab w:val="right" w:pos="8306"/>
      </w:tabs>
      <w:snapToGrid w:val="0"/>
      <w:jc w:val="left"/>
    </w:pPr>
    <w:rPr>
      <w:sz w:val="18"/>
      <w:szCs w:val="18"/>
    </w:rPr>
  </w:style>
  <w:style w:type="paragraph" w:styleId="14">
    <w:name w:val="header"/>
    <w:basedOn w:val="1"/>
    <w:link w:val="45"/>
    <w:unhideWhenUsed/>
    <w:qFormat/>
    <w:uiPriority w:val="99"/>
    <w:pPr>
      <w:tabs>
        <w:tab w:val="center" w:pos="4153"/>
        <w:tab w:val="right" w:pos="8306"/>
      </w:tabs>
      <w:snapToGrid w:val="0"/>
      <w:jc w:val="center"/>
    </w:pPr>
    <w:rPr>
      <w:sz w:val="18"/>
      <w:szCs w:val="18"/>
    </w:rPr>
  </w:style>
  <w:style w:type="paragraph" w:styleId="15">
    <w:name w:val="Subtitle"/>
    <w:basedOn w:val="1"/>
    <w:next w:val="1"/>
    <w:link w:val="3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footnote text"/>
    <w:basedOn w:val="1"/>
    <w:semiHidden/>
    <w:unhideWhenUsed/>
    <w:qFormat/>
    <w:uiPriority w:val="99"/>
    <w:pPr>
      <w:snapToGrid w:val="0"/>
      <w:jc w:val="left"/>
    </w:pPr>
    <w:rPr>
      <w:sz w:val="18"/>
    </w:rPr>
  </w:style>
  <w:style w:type="paragraph" w:styleId="17">
    <w:name w:val="Normal (Web)"/>
    <w:basedOn w:val="1"/>
    <w:semiHidden/>
    <w:unhideWhenUsed/>
    <w:qFormat/>
    <w:uiPriority w:val="99"/>
    <w:rPr>
      <w:sz w:val="24"/>
    </w:rPr>
  </w:style>
  <w:style w:type="paragraph" w:styleId="18">
    <w:name w:val="Title"/>
    <w:basedOn w:val="1"/>
    <w:next w:val="1"/>
    <w:link w:val="36"/>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19">
    <w:name w:val="annotation subject"/>
    <w:basedOn w:val="12"/>
    <w:next w:val="12"/>
    <w:link w:val="48"/>
    <w:semiHidden/>
    <w:unhideWhenUsed/>
    <w:qFormat/>
    <w:uiPriority w:val="99"/>
    <w:rPr>
      <w:b/>
      <w:bCs/>
    </w:rPr>
  </w:style>
  <w:style w:type="table" w:styleId="21">
    <w:name w:val="Table Grid"/>
    <w:basedOn w:val="2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b/>
      <w:bCs/>
    </w:rPr>
  </w:style>
  <w:style w:type="character" w:styleId="24">
    <w:name w:val="page number"/>
    <w:basedOn w:val="22"/>
    <w:qFormat/>
    <w:uiPriority w:val="0"/>
  </w:style>
  <w:style w:type="character" w:styleId="25">
    <w:name w:val="annotation reference"/>
    <w:basedOn w:val="22"/>
    <w:semiHidden/>
    <w:unhideWhenUsed/>
    <w:qFormat/>
    <w:uiPriority w:val="99"/>
    <w:rPr>
      <w:sz w:val="21"/>
      <w:szCs w:val="21"/>
    </w:rPr>
  </w:style>
  <w:style w:type="character" w:styleId="26">
    <w:name w:val="footnote reference"/>
    <w:basedOn w:val="22"/>
    <w:semiHidden/>
    <w:unhideWhenUsed/>
    <w:qFormat/>
    <w:uiPriority w:val="99"/>
    <w:rPr>
      <w:vertAlign w:val="superscript"/>
    </w:rPr>
  </w:style>
  <w:style w:type="character" w:customStyle="1" w:styleId="27">
    <w:name w:val="Heading 1 Char"/>
    <w:basedOn w:val="22"/>
    <w:link w:val="3"/>
    <w:qFormat/>
    <w:uiPriority w:val="9"/>
    <w:rPr>
      <w:rFonts w:asciiTheme="majorHAnsi" w:hAnsiTheme="majorHAnsi" w:cstheme="majorBidi"/>
      <w:color w:val="000000" w:themeColor="text1"/>
      <w:kern w:val="2"/>
      <w:sz w:val="21"/>
      <w:szCs w:val="48"/>
      <w14:textFill>
        <w14:solidFill>
          <w14:schemeClr w14:val="tx1"/>
        </w14:solidFill>
      </w14:textFill>
    </w:rPr>
  </w:style>
  <w:style w:type="character" w:customStyle="1" w:styleId="28">
    <w:name w:val="Heading 2 Char"/>
    <w:basedOn w:val="22"/>
    <w:link w:val="4"/>
    <w:semiHidden/>
    <w:qFormat/>
    <w:uiPriority w:val="9"/>
    <w:rPr>
      <w:rFonts w:asciiTheme="majorHAnsi" w:hAnsiTheme="majorHAnsi" w:eastAsiaTheme="majorEastAsia" w:cstheme="majorBidi"/>
      <w:color w:val="104862" w:themeColor="accent1" w:themeShade="BF"/>
      <w:sz w:val="40"/>
      <w:szCs w:val="40"/>
    </w:rPr>
  </w:style>
  <w:style w:type="character" w:customStyle="1" w:styleId="29">
    <w:name w:val="Heading 3 Char"/>
    <w:basedOn w:val="22"/>
    <w:link w:val="5"/>
    <w:semiHidden/>
    <w:qFormat/>
    <w:uiPriority w:val="9"/>
    <w:rPr>
      <w:rFonts w:asciiTheme="majorHAnsi" w:hAnsiTheme="majorHAnsi" w:eastAsiaTheme="majorEastAsia" w:cstheme="majorBidi"/>
      <w:color w:val="104862" w:themeColor="accent1" w:themeShade="BF"/>
      <w:sz w:val="32"/>
      <w:szCs w:val="32"/>
    </w:rPr>
  </w:style>
  <w:style w:type="character" w:customStyle="1" w:styleId="30">
    <w:name w:val="Heading 4 Char"/>
    <w:basedOn w:val="22"/>
    <w:link w:val="6"/>
    <w:semiHidden/>
    <w:qFormat/>
    <w:uiPriority w:val="9"/>
    <w:rPr>
      <w:rFonts w:cstheme="majorBidi"/>
      <w:color w:val="104862" w:themeColor="accent1" w:themeShade="BF"/>
      <w:sz w:val="28"/>
      <w:szCs w:val="28"/>
    </w:rPr>
  </w:style>
  <w:style w:type="character" w:customStyle="1" w:styleId="31">
    <w:name w:val="Heading 5 Char"/>
    <w:basedOn w:val="22"/>
    <w:link w:val="7"/>
    <w:semiHidden/>
    <w:qFormat/>
    <w:uiPriority w:val="9"/>
    <w:rPr>
      <w:rFonts w:cstheme="majorBidi"/>
      <w:color w:val="104862" w:themeColor="accent1" w:themeShade="BF"/>
      <w:sz w:val="24"/>
      <w:szCs w:val="24"/>
    </w:rPr>
  </w:style>
  <w:style w:type="character" w:customStyle="1" w:styleId="32">
    <w:name w:val="Heading 6 Char"/>
    <w:basedOn w:val="22"/>
    <w:link w:val="8"/>
    <w:semiHidden/>
    <w:qFormat/>
    <w:uiPriority w:val="9"/>
    <w:rPr>
      <w:rFonts w:cstheme="majorBidi"/>
      <w:b/>
      <w:bCs/>
      <w:color w:val="104862" w:themeColor="accent1" w:themeShade="BF"/>
    </w:rPr>
  </w:style>
  <w:style w:type="character" w:customStyle="1" w:styleId="33">
    <w:name w:val="Heading 7 Char"/>
    <w:basedOn w:val="22"/>
    <w:link w:val="9"/>
    <w:semiHidden/>
    <w:qFormat/>
    <w:uiPriority w:val="9"/>
    <w:rPr>
      <w:rFonts w:asciiTheme="minorHAnsi" w:hAnsiTheme="minorHAnsi" w:eastAsiaTheme="minorEastAsia" w:cstheme="majorBidi"/>
      <w:b/>
      <w:bCs/>
      <w:color w:val="595959" w:themeColor="text1" w:themeTint="A6"/>
      <w:kern w:val="2"/>
      <w:sz w:val="21"/>
      <w:szCs w:val="22"/>
      <w14:textFill>
        <w14:solidFill>
          <w14:schemeClr w14:val="tx1">
            <w14:lumMod w14:val="65000"/>
            <w14:lumOff w14:val="35000"/>
          </w14:schemeClr>
        </w14:solidFill>
      </w14:textFill>
    </w:rPr>
  </w:style>
  <w:style w:type="character" w:customStyle="1" w:styleId="34">
    <w:name w:val="Heading 8 Char"/>
    <w:basedOn w:val="22"/>
    <w:link w:val="10"/>
    <w:semiHidden/>
    <w:qFormat/>
    <w:uiPriority w:val="9"/>
    <w:rPr>
      <w:rFonts w:asciiTheme="minorHAnsi" w:hAnsiTheme="minorHAnsi" w:eastAsiaTheme="minorEastAsia" w:cstheme="majorBidi"/>
      <w:color w:val="595959" w:themeColor="text1" w:themeTint="A6"/>
      <w:kern w:val="2"/>
      <w:sz w:val="21"/>
      <w:szCs w:val="22"/>
      <w14:textFill>
        <w14:solidFill>
          <w14:schemeClr w14:val="tx1">
            <w14:lumMod w14:val="65000"/>
            <w14:lumOff w14:val="35000"/>
          </w14:schemeClr>
        </w14:solidFill>
      </w14:textFill>
    </w:rPr>
  </w:style>
  <w:style w:type="character" w:customStyle="1" w:styleId="35">
    <w:name w:val="Heading 9 Char"/>
    <w:basedOn w:val="22"/>
    <w:link w:val="11"/>
    <w:semiHidden/>
    <w:qFormat/>
    <w:uiPriority w:val="9"/>
    <w:rPr>
      <w:rFonts w:asciiTheme="minorHAnsi" w:hAnsiTheme="minorHAnsi" w:eastAsiaTheme="majorEastAsia" w:cstheme="majorBidi"/>
      <w:color w:val="595959" w:themeColor="text1" w:themeTint="A6"/>
      <w:kern w:val="2"/>
      <w:sz w:val="21"/>
      <w:szCs w:val="22"/>
      <w14:textFill>
        <w14:solidFill>
          <w14:schemeClr w14:val="tx1">
            <w14:lumMod w14:val="65000"/>
            <w14:lumOff w14:val="35000"/>
          </w14:schemeClr>
        </w14:solidFill>
      </w14:textFill>
    </w:rPr>
  </w:style>
  <w:style w:type="character" w:customStyle="1" w:styleId="36">
    <w:name w:val="Title Char"/>
    <w:basedOn w:val="22"/>
    <w:link w:val="18"/>
    <w:qFormat/>
    <w:uiPriority w:val="10"/>
    <w:rPr>
      <w:rFonts w:asciiTheme="majorHAnsi" w:hAnsiTheme="majorHAnsi" w:eastAsiaTheme="majorEastAsia" w:cstheme="majorBidi"/>
      <w:spacing w:val="-10"/>
      <w:kern w:val="28"/>
      <w:sz w:val="56"/>
      <w:szCs w:val="56"/>
    </w:rPr>
  </w:style>
  <w:style w:type="character" w:customStyle="1" w:styleId="37">
    <w:name w:val="Subtitle Char"/>
    <w:basedOn w:val="22"/>
    <w:link w:val="15"/>
    <w:qFormat/>
    <w:uiPriority w:val="11"/>
    <w:rPr>
      <w:rFonts w:asciiTheme="majorHAnsi" w:hAnsiTheme="majorHAnsi" w:eastAsiaTheme="majorEastAsia" w:cstheme="majorBidi"/>
      <w:color w:val="595959" w:themeColor="text1" w:themeTint="A6"/>
      <w:spacing w:val="15"/>
      <w:kern w:val="2"/>
      <w:sz w:val="28"/>
      <w:szCs w:val="28"/>
      <w14:textFill>
        <w14:solidFill>
          <w14:schemeClr w14:val="tx1">
            <w14:lumMod w14:val="65000"/>
            <w14:lumOff w14:val="35000"/>
          </w14:schemeClr>
        </w14:solidFill>
      </w14:textFill>
    </w:rPr>
  </w:style>
  <w:style w:type="paragraph" w:styleId="38">
    <w:name w:val="Quote"/>
    <w:basedOn w:val="1"/>
    <w:next w:val="1"/>
    <w:link w:val="3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9">
    <w:name w:val="Quote Char"/>
    <w:basedOn w:val="22"/>
    <w:link w:val="38"/>
    <w:qFormat/>
    <w:uiPriority w:val="29"/>
    <w:rPr>
      <w:rFonts w:asciiTheme="minorHAnsi" w:hAnsiTheme="minorHAnsi" w:eastAsiaTheme="minorEastAsia" w:cstheme="minorBidi"/>
      <w:i/>
      <w:iCs/>
      <w:color w:val="404040" w:themeColor="text1" w:themeTint="BF"/>
      <w:kern w:val="2"/>
      <w:sz w:val="21"/>
      <w:szCs w:val="22"/>
      <w14:textFill>
        <w14:solidFill>
          <w14:schemeClr w14:val="tx1">
            <w14:lumMod w14:val="75000"/>
            <w14:lumOff w14:val="25000"/>
          </w14:schemeClr>
        </w14:solidFill>
      </w14:textFill>
    </w:rPr>
  </w:style>
  <w:style w:type="paragraph" w:styleId="40">
    <w:name w:val="List Paragraph"/>
    <w:basedOn w:val="1"/>
    <w:qFormat/>
    <w:uiPriority w:val="34"/>
    <w:pPr>
      <w:ind w:left="720"/>
      <w:contextualSpacing/>
    </w:pPr>
  </w:style>
  <w:style w:type="character" w:customStyle="1" w:styleId="41">
    <w:name w:val="Intense Emphasis1"/>
    <w:basedOn w:val="22"/>
    <w:qFormat/>
    <w:uiPriority w:val="21"/>
    <w:rPr>
      <w:i/>
      <w:iCs/>
      <w:color w:val="104862" w:themeColor="accent1" w:themeShade="BF"/>
    </w:rPr>
  </w:style>
  <w:style w:type="paragraph" w:styleId="42">
    <w:name w:val="Intense Quote"/>
    <w:basedOn w:val="1"/>
    <w:next w:val="1"/>
    <w:link w:val="4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43">
    <w:name w:val="Intense Quote Char"/>
    <w:basedOn w:val="22"/>
    <w:link w:val="42"/>
    <w:qFormat/>
    <w:uiPriority w:val="30"/>
    <w:rPr>
      <w:i/>
      <w:iCs/>
      <w:color w:val="104862" w:themeColor="accent1" w:themeShade="BF"/>
    </w:rPr>
  </w:style>
  <w:style w:type="character" w:customStyle="1" w:styleId="44">
    <w:name w:val="Intense Reference1"/>
    <w:basedOn w:val="22"/>
    <w:qFormat/>
    <w:uiPriority w:val="32"/>
    <w:rPr>
      <w:b/>
      <w:bCs/>
      <w:smallCaps/>
      <w:color w:val="104862" w:themeColor="accent1" w:themeShade="BF"/>
      <w:spacing w:val="5"/>
    </w:rPr>
  </w:style>
  <w:style w:type="character" w:customStyle="1" w:styleId="45">
    <w:name w:val="Header Char"/>
    <w:basedOn w:val="22"/>
    <w:link w:val="14"/>
    <w:qFormat/>
    <w:uiPriority w:val="99"/>
    <w:rPr>
      <w:sz w:val="18"/>
      <w:szCs w:val="18"/>
    </w:rPr>
  </w:style>
  <w:style w:type="character" w:customStyle="1" w:styleId="46">
    <w:name w:val="Footer Char"/>
    <w:basedOn w:val="22"/>
    <w:link w:val="13"/>
    <w:qFormat/>
    <w:uiPriority w:val="99"/>
    <w:rPr>
      <w:sz w:val="18"/>
      <w:szCs w:val="18"/>
    </w:rPr>
  </w:style>
  <w:style w:type="character" w:customStyle="1" w:styleId="47">
    <w:name w:val="Comment Text Char"/>
    <w:basedOn w:val="22"/>
    <w:link w:val="12"/>
    <w:qFormat/>
    <w:uiPriority w:val="99"/>
  </w:style>
  <w:style w:type="character" w:customStyle="1" w:styleId="48">
    <w:name w:val="Comment Subject Char"/>
    <w:basedOn w:val="47"/>
    <w:link w:val="19"/>
    <w:semiHidden/>
    <w:qFormat/>
    <w:uiPriority w:val="99"/>
    <w:rPr>
      <w:b/>
      <w:bCs/>
    </w:rPr>
  </w:style>
  <w:style w:type="paragraph" w:customStyle="1" w:styleId="49">
    <w:name w:val="17babae4-54f0-44fa-a444-1068224df0ac"/>
    <w:basedOn w:val="18"/>
    <w:next w:val="50"/>
    <w:link w:val="51"/>
    <w:qFormat/>
    <w:uiPriority w:val="0"/>
    <w:pPr>
      <w:adjustRightInd w:val="0"/>
      <w:spacing w:after="0" w:line="288" w:lineRule="auto"/>
      <w:outlineLvl w:val="0"/>
    </w:pPr>
    <w:rPr>
      <w:rFonts w:ascii="微软雅黑" w:hAnsi="微软雅黑" w:eastAsia="微软雅黑" w:cs="Times New Roman"/>
      <w:b/>
      <w:color w:val="000000"/>
      <w:sz w:val="40"/>
      <w:szCs w:val="24"/>
    </w:rPr>
  </w:style>
  <w:style w:type="paragraph" w:customStyle="1" w:styleId="50">
    <w:name w:val="acbfdd8b-e11b-4d36-88ff-6049b138f862"/>
    <w:basedOn w:val="1"/>
    <w:link w:val="52"/>
    <w:qFormat/>
    <w:uiPriority w:val="0"/>
    <w:pPr>
      <w:adjustRightInd w:val="0"/>
      <w:spacing w:line="288" w:lineRule="auto"/>
      <w:jc w:val="left"/>
    </w:pPr>
    <w:rPr>
      <w:rFonts w:ascii="微软雅黑" w:hAnsi="微软雅黑" w:eastAsia="微软雅黑" w:cs="Times New Roman"/>
      <w:color w:val="000000"/>
      <w:sz w:val="22"/>
      <w:szCs w:val="24"/>
    </w:rPr>
  </w:style>
  <w:style w:type="character" w:customStyle="1" w:styleId="51">
    <w:name w:val="17babae4-54f0-44fa-a444-1068224df0ac 字符"/>
    <w:basedOn w:val="22"/>
    <w:link w:val="49"/>
    <w:qFormat/>
    <w:uiPriority w:val="0"/>
    <w:rPr>
      <w:rFonts w:ascii="微软雅黑" w:hAnsi="微软雅黑" w:eastAsia="微软雅黑" w:cs="Times New Roman"/>
      <w:b/>
      <w:color w:val="000000"/>
      <w:spacing w:val="-10"/>
      <w:kern w:val="28"/>
      <w:sz w:val="40"/>
      <w:szCs w:val="24"/>
    </w:rPr>
  </w:style>
  <w:style w:type="character" w:customStyle="1" w:styleId="52">
    <w:name w:val="acbfdd8b-e11b-4d36-88ff-6049b138f862 字符"/>
    <w:basedOn w:val="22"/>
    <w:link w:val="50"/>
    <w:qFormat/>
    <w:uiPriority w:val="0"/>
    <w:rPr>
      <w:rFonts w:ascii="微软雅黑" w:hAnsi="微软雅黑" w:eastAsia="微软雅黑" w:cs="Times New Roman"/>
      <w:color w:val="000000"/>
      <w:sz w:val="22"/>
      <w:szCs w:val="24"/>
    </w:rPr>
  </w:style>
  <w:style w:type="paragraph" w:customStyle="1" w:styleId="53">
    <w:name w:val="pf0"/>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54">
    <w:name w:val="cf01"/>
    <w:basedOn w:val="22"/>
    <w:qFormat/>
    <w:uiPriority w:val="0"/>
    <w:rPr>
      <w:rFonts w:hint="eastAsia" w:ascii="Microsoft YaHei UI" w:hAnsi="Microsoft YaHei UI" w:eastAsia="Microsoft YaHei UI"/>
      <w:sz w:val="18"/>
      <w:szCs w:val="18"/>
    </w:rPr>
  </w:style>
  <w:style w:type="paragraph" w:customStyle="1" w:styleId="55">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p:properties xmlns:p="http://schemas.microsoft.com/office/2006/metadata/properties" xmlns:xsi="http://www.w3.org/2001/XMLSchema-instance" xmlns:pc="http://schemas.microsoft.com/office/infopath/2007/PartnerControls">
  <documentManagement>
    <o1cb080a3dca4eb8a0fd03c7cc8bf8f7 xmlns="3e02667f-0271-471b-bd6e-11a2e16def1d">
      <Terms xmlns="http://schemas.microsoft.com/office/infopath/2007/PartnerControls"/>
    </o1cb080a3dca4eb8a0fd03c7cc8bf8f7>
    <Abstract xmlns:xsi="http://www.w3.org/2001/XMLSchema-instance" xmlns="3e02667f-0271-471b-bd6e-11a2e16def1d" xsi:nil="true"/>
    <WBDocs_Access_To_Info_Exception xmlns="3e02667f-0271-471b-bd6e-11a2e16def1d">12. Not Assessed</WBDocs_Access_To_Info_Exception>
    <WBDocs_Document_Date xmlns="3e02667f-0271-471b-bd6e-11a2e16def1d">2026-05-06T04:10:08+00:00</WBDocs_Document_Date>
    <TaxCatchAll xmlns="3e02667f-0271-471b-bd6e-11a2e16def1d">
      <Value xmlns="3e02667f-0271-471b-bd6e-11a2e16def1d">5</Value>
    </TaxCatchAll>
    <OneCMS_Subcategory xmlns:xsi="http://www.w3.org/2001/XMLSchema-instance" xmlns="3e02667f-0271-471b-bd6e-11a2e16def1d" xsi:nil="true"/>
    <i008215bacac45029ee8cafff4c8e93b xmlns="3e02667f-0271-471b-bd6e-11a2e16def1d">
      <Terms xmlns="http://schemas.microsoft.com/office/infopath/2007/PartnerControls">
        <TermInfo xmlns="http://schemas.microsoft.com/office/infopath/2007/PartnerControls">
          <TermName xmlns="http://schemas.microsoft.com/office/infopath/2007/PartnerControls">EACCF - WB Off: Beijing</TermName>
          <TermId xmlns="http://schemas.microsoft.com/office/infopath/2007/PartnerControls">2435c311-dfa9-4ae1-8e70-c51f57abf81a</TermId>
        </TermInfo>
      </Terms>
    </i008215bacac45029ee8cafff4c8e93b>
    <WBDocs_Information_Classification xmlns="3e02667f-0271-471b-bd6e-11a2e16def1d">Official Use Only</WBDocs_Information_Classification>
    <OneCMS_Category xmlns:xsi="http://www.w3.org/2001/XMLSchema-instance" xmlns="3e02667f-0271-471b-bd6e-11a2e16def1d" xsi:nil="true"/>
  </documentManagement>
</p:properties>
</file>

<file path=customXml/item3.xml><?xml version="1.0" encoding="utf-8"?>
<?mso-contentType ?>
<FormTemplates xmlns="http://schemas.microsoft.com/sharepoint/v3/contenttype/forms">
  <Display xmlns="http://schemas.microsoft.com/sharepoint/v3/contenttype/forms">DocumentLibraryForm</Display>
  <Edit xmlns="http://schemas.microsoft.com/sharepoint/v3/contenttype/forms">DocumentLibraryForm</Edit>
  <New xmlns="http://schemas.microsoft.com/sharepoint/v3/contenttype/forms">DocumentLibraryForm</New>
</FormTemplates>
</file>

<file path=customXml/item4.xml><?xml version="1.0" encoding="utf-8"?>
<?mso-contentType ?>
<spe:Receivers xmlns:spe="http://schemas.microsoft.com/sharepoint/events"/>
</file>

<file path=customXml/item5.xml><?xml version="1.0" encoding="utf-8"?>
<?mso-contentType ?>
<SharedContentType xmlns="Microsoft.SharePoint.Taxonomy.ContentTypeSync" PreviousValue="false" ContentTypeId="0x010100F4C63C3BD852AE468EAEFD0E6C57C64F02" SourceId="2a6c10d7-b926-4fc0-945e-3cbf5049f6bd"/>
</file>

<file path=customXml/item6.xml><?xml version="1.0" encoding="utf-8"?>
<ct:contentTypeSchema xmlns:ct="http://schemas.microsoft.com/office/2006/metadata/contentType" contentTypeVersion="21" contentTypeID="0x010100F4C63C3BD852AE468EAEFD0E6C57C64F02008C015598D0747D4283BB1F9D49ADADC6" contentTypeDescription="" contentTypeScope="" contentTypeName="WBDocument" versionID="793720ccac36104286da29796a69d008" _="">
  <xsd:schema xmlns:xsd="http://www.w3.org/2001/XMLSchema" root="true" targetNamespace="http://schemas.microsoft.com/office/2006/metadata/properties" fieldsID="0b45970f5a227ce107450d300e422142" _="">
    <xsd:import xmlns:xsd="http://www.w3.org/2001/XMLSchema" namespace="3e02667f-0271-471b-bd6e-11a2e16def1d"/>
    <xsd:element xmlns:xsd="http://www.w3.org/2001/XMLSchema" name="properties">
      <xsd:complexType xmlns:xsd="http://www.w3.org/2001/XMLSchema">
        <xsd:sequence xmlns:xsd="http://www.w3.org/2001/XMLSchema">
          <xsd:element xmlns:xsd="http://www.w3.org/2001/XMLSchema" name="documentManagement">
            <xsd:complexType xmlns:xsd="http://www.w3.org/2001/XMLSchema">
              <xsd:all xmlns:xsd="http://www.w3.org/2001/XMLSchema">
                <xsd:element xmlns:xsd="http://www.w3.org/2001/XMLSchema" minOccurs="0" ref="ns3:WBDocs_Document_Date"/>
                <xsd:element xmlns:xsd="http://www.w3.org/2001/XMLSchema" ref="ns3:WBDocs_Information_Classification"/>
                <xsd:element xmlns:xsd="http://www.w3.org/2001/XMLSchema" minOccurs="0" ref="ns3:TaxCatchAll"/>
                <xsd:element xmlns:xsd="http://www.w3.org/2001/XMLSchema" minOccurs="0" ref="ns3:TaxCatchAllLabel"/>
                <xsd:element xmlns:xsd="http://www.w3.org/2001/XMLSchema" minOccurs="0" ref="ns3:_dlc_DocId"/>
                <xsd:element xmlns:xsd="http://www.w3.org/2001/XMLSchema" minOccurs="0" ref="ns3:_dlc_DocIdUrl"/>
                <xsd:element xmlns:xsd="http://www.w3.org/2001/XMLSchema" minOccurs="0" ref="ns3:_dlc_DocIdPersistId"/>
                <xsd:element xmlns:xsd="http://www.w3.org/2001/XMLSchema" minOccurs="0" ref="ns3:WBDocs_Access_To_Info_Exception"/>
                <xsd:element xmlns:xsd="http://www.w3.org/2001/XMLSchema" minOccurs="0" ref="ns3:o1cb080a3dca4eb8a0fd03c7cc8bf8f7"/>
                <xsd:element xmlns:xsd="http://www.w3.org/2001/XMLSchema" minOccurs="0" ref="ns3:i008215bacac45029ee8cafff4c8e93b"/>
                <xsd:element xmlns:xsd="http://www.w3.org/2001/XMLSchema" minOccurs="0" ref="ns3:OneCMS_Subcategory"/>
                <xsd:element xmlns:xsd="http://www.w3.org/2001/XMLSchema" minOccurs="0" ref="ns3:OneCMS_Category"/>
                <xsd:element xmlns:xsd="http://www.w3.org/2001/XMLSchema" minOccurs="0" ref="ns3:Abstract"/>
              </xsd:all>
            </xsd:complexType>
          </xsd:element>
        </xsd:sequence>
      </xsd:complexType>
    </xsd:element>
  </xsd:schema>
  <xsd:schema xmlns:xsd="http://www.w3.org/2001/XMLSchema" targetNamespace="3e02667f-0271-471b-bd6e-11a2e16def1d" elementFormDefault="qualified">
    <xsd:import xmlns:xsd="http://www.w3.org/2001/XMLSchema" namespace="http://schemas.microsoft.com/office/2006/documentManagement/types"/>
    <xsd:import xmlns:xsd="http://www.w3.org/2001/XMLSchema" namespace="http://schemas.microsoft.com/office/infopath/2007/PartnerControls"/>
    <xsd:element xmlns:xsd="http://www.w3.org/2001/XMLSchema" nillable="true" format="DateTime" displayName="Document Date" index="3" default="[today]" internalName="WBDocs_Document_Date" readOnly="false" name="WBDocs_Document_Date">
      <xsd:simpleType xmlns:xsd="http://www.w3.org/2001/XMLSchema">
        <xsd:restriction xmlns:xsd="http://www.w3.org/2001/XMLSchema" base="dms:DateTime"/>
      </xsd:simpleType>
    </xsd:element>
    <xsd:element xmlns:xsd="http://www.w3.org/2001/XMLSchema" format="Dropdown" displayName="Information Classification" index="4" default="Official Use Only" internalName="WBDocs_Information_Classification" readOnly="false" name="WBDocs_Information_Classification">
      <xsd:simpleType xmlns:xsd="http://www.w3.org/2001/XMLSchema">
        <xsd:restriction xmlns:xsd="http://www.w3.org/2001/XMLSchema" base="dms:Choice">
          <xsd:enumeration xmlns:xsd="http://www.w3.org/2001/XMLSchema" value="Public"/>
          <xsd:enumeration xmlns:xsd="http://www.w3.org/2001/XMLSchema" value="Official Use Only"/>
          <xsd:enumeration xmlns:xsd="http://www.w3.org/2001/XMLSchema" value="Confidential"/>
          <xsd:enumeration xmlns:xsd="http://www.w3.org/2001/XMLSchema" value="Strictly Confidential"/>
        </xsd:restriction>
      </xsd:simpleType>
    </xsd:element>
    <xsd:element xmlns:xsd="http://www.w3.org/2001/XMLSchema" list="{16aa8994-a05b-49f1-92e2-ade3831271c5}" nillable="true" displayName="Taxonomy Catch All Column" index="6" hidden="true" internalName="TaxCatchAll" showField="CatchAllData" name="TaxCatchAll" web="55412a85-6e69-42a4-8c20-5128caeef093">
      <xsd:complexType xmlns:xsd="http://www.w3.org/2001/XMLSchema">
        <xsd:complexContent xmlns:xsd="http://www.w3.org/2001/XMLSchema">
          <xsd:extension xmlns:xsd="http://www.w3.org/2001/XMLSchema" base="dms:MultiChoiceLookup">
            <xsd:sequence xmlns:xsd="http://www.w3.org/2001/XMLSchema">
              <xsd:element xmlns:xsd="http://www.w3.org/2001/XMLSchema" maxOccurs="unbounded" nillable="true" minOccurs="0" type="dms:Lookup" name="Value"/>
            </xsd:sequence>
          </xsd:extension>
        </xsd:complexContent>
      </xsd:complexType>
    </xsd:element>
    <xsd:element xmlns:xsd="http://www.w3.org/2001/XMLSchema" list="{16aa8994-a05b-49f1-92e2-ade3831271c5}" nillable="true" displayName="Taxonomy Catch All Column1" index="7" hidden="true" internalName="TaxCatchAllLabel" readOnly="true" showField="CatchAllDataLabel" name="TaxCatchAllLabel" web="55412a85-6e69-42a4-8c20-5128caeef093">
      <xsd:complexType xmlns:xsd="http://www.w3.org/2001/XMLSchema">
        <xsd:complexContent xmlns:xsd="http://www.w3.org/2001/XMLSchema">
          <xsd:extension xmlns:xsd="http://www.w3.org/2001/XMLSchema" base="dms:MultiChoiceLookup">
            <xsd:sequence xmlns:xsd="http://www.w3.org/2001/XMLSchema">
              <xsd:element xmlns:xsd="http://www.w3.org/2001/XMLSchema" maxOccurs="unbounded" nillable="true" minOccurs="0" type="dms:Lookup" name="Value"/>
            </xsd:sequence>
          </xsd:extension>
        </xsd:complexContent>
      </xsd:complexType>
    </xsd:element>
    <xsd:element xmlns:xsd="http://www.w3.org/2001/XMLSchema" nillable="true" displayName="Document ID Value" index="10" description="The value of the document ID assigned to this item." internalName="_dlc_DocId" readOnly="true" name="_dlc_DocId">
      <xsd:simpleType xmlns:xsd="http://www.w3.org/2001/XMLSchema">
        <xsd:restriction xmlns:xsd="http://www.w3.org/2001/XMLSchema" base="dms:Text"/>
      </xsd:simpleType>
    </xsd:element>
    <xsd:element xmlns:xsd="http://www.w3.org/2001/XMLSchema" nillable="true" displayName="Document ID" index="11" description="Permanent link to this document." hidden="true" internalName="_dlc_DocIdUrl" readOnly="true" name="_dlc_DocIdUrl">
      <xsd:complexType xmlns:xsd="http://www.w3.org/2001/XMLSchema">
        <xsd:complexContent xmlns:xsd="http://www.w3.org/2001/XMLSchema">
          <xsd:extension xmlns:xsd="http://www.w3.org/2001/XMLSchema" base="dms:URL">
            <xsd:sequence xmlns:xsd="http://www.w3.org/2001/XMLSchema">
              <xsd:element xmlns:xsd="http://www.w3.org/2001/XMLSchema" nillable="true" minOccurs="0" type="dms:ValidUrl" name="Url"/>
              <xsd:element xmlns:xsd="http://www.w3.org/2001/XMLSchema" nillable="true" type="xsd:string" name="Description"/>
            </xsd:sequence>
          </xsd:extension>
        </xsd:complexContent>
      </xsd:complexType>
    </xsd:element>
    <xsd:element xmlns:xsd="http://www.w3.org/2001/XMLSchema" nillable="true" displayName="Persist ID" index="12" description="Keep ID on add." hidden="true" internalName="_dlc_DocIdPersistId" readOnly="true" name="_dlc_DocIdPersistId">
      <xsd:simpleType xmlns:xsd="http://www.w3.org/2001/XMLSchema">
        <xsd:restriction xmlns:xsd="http://www.w3.org/2001/XMLSchema" base="dms:Boolean"/>
      </xsd:simpleType>
    </xsd:element>
    <xsd:element xmlns:xsd="http://www.w3.org/2001/XMLSchema" nillable="true" format="Dropdown" displayName="Access to Info Exception" index="13" default="12. Not Assessed" internalName="WBDocs_Access_To_Info_Exception" name="WBDocs_Access_To_Info_Exception">
      <xsd:simpleType xmlns:xsd="http://www.w3.org/2001/XMLSchema">
        <xsd:restriction xmlns:xsd="http://www.w3.org/2001/XMLSchema" base="dms:Choice">
          <xsd:enumeration xmlns:xsd="http://www.w3.org/2001/XMLSchema" value="1. Personal"/>
          <xsd:enumeration xmlns:xsd="http://www.w3.org/2001/XMLSchema" value="2. Executive Director's Communications"/>
          <xsd:enumeration xmlns:xsd="http://www.w3.org/2001/XMLSchema" value="3. Board Ethics Committee"/>
          <xsd:enumeration xmlns:xsd="http://www.w3.org/2001/XMLSchema" value="4. Attorney-Client Privilege"/>
          <xsd:enumeration xmlns:xsd="http://www.w3.org/2001/XMLSchema" value="5. Security &amp; Safety"/>
          <xsd:enumeration xmlns:xsd="http://www.w3.org/2001/XMLSchema" value="6. Other Disclosure Regimes"/>
          <xsd:enumeration xmlns:xsd="http://www.w3.org/2001/XMLSchema" value="7. Client / Third Party Confidence"/>
          <xsd:enumeration xmlns:xsd="http://www.w3.org/2001/XMLSchema" value="8. Corporate/Administrative"/>
          <xsd:enumeration xmlns:xsd="http://www.w3.org/2001/XMLSchema" value="9. Deliberative"/>
          <xsd:enumeration xmlns:xsd="http://www.w3.org/2001/XMLSchema" value="10a-c. Financial - Forecast/Analysis/Transactions"/>
          <xsd:enumeration xmlns:xsd="http://www.w3.org/2001/XMLSchema" value="10d. Financial - Banking &amp; Billing"/>
          <xsd:enumeration xmlns:xsd="http://www.w3.org/2001/XMLSchema" value="11. Bank's Prerogative to Restrict"/>
          <xsd:enumeration xmlns:xsd="http://www.w3.org/2001/XMLSchema" value="12. Not Assessed"/>
          <xsd:enumeration xmlns:xsd="http://www.w3.org/2001/XMLSchema" value="13. Not Applicable"/>
          <xsd:enumeration xmlns:xsd="http://www.w3.org/2001/XMLSchema" value="Unknown Policy Restriction"/>
        </xsd:restriction>
      </xsd:simpleType>
    </xsd:element>
    <xsd:element xmlns:ma="http://schemas.microsoft.com/office/2006/metadata/properties/metaAttributes" xmlns:xsd="http://www.w3.org/2001/XMLSchema" taxonomy="true" name="o1cb080a3dca4eb8a0fd03c7cc8bf8f7" ma:open="false" termSetId="ec380048-e675-43f7-9194-41567bcb0af6" displayName="Local Document Type" internalName="o1cb080a3dca4eb8a0fd03c7cc8bf8f7" readOnly="false" fieldId="{81cb080a-3dca-4eb8-a0fd-03c7cc8bf8f7}" nillable="true" sspId="2a6c10d7-b926-4fc0-945e-3cbf5049f6bd" ma:default="" taxonomyFieldName="WBDocs_Local_Document_Type" anchorId="00000000-0000-0000-0000-000000000000" index="15" taxonomyMulti="true" ma:isKeyword="false">
      <xsd:complexType xmlns:xsd="http://www.w3.org/2001/XMLSchema">
        <xsd:sequence xmlns:xsd="http://www.w3.org/2001/XMLSchema">
          <xsd:element xmlns:xsd="http://www.w3.org/2001/XMLSchema" maxOccurs="1" minOccurs="0" ref="pc:Terms"/>
        </xsd:sequence>
      </xsd:complexType>
    </xsd:element>
    <xsd:element xmlns:ma="http://schemas.microsoft.com/office/2006/metadata/properties/metaAttributes" xmlns:xsd="http://www.w3.org/2001/XMLSchema" taxonomy="true" name="i008215bacac45029ee8cafff4c8e93b" ma:open="false" termSetId="806c0147-d557-463e-8bb0-983f4f318bd5" displayName="Originating unit" internalName="i008215bacac45029ee8cafff4c8e93b" readOnly="false" fieldId="{2008215b-acac-4502-9ee8-cafff4c8e93b}" nillable="true" sspId="2a6c10d7-b926-4fc0-945e-3cbf5049f6bd" ma:default="5;#EACCF - WB Off: Beijing|2435c311-dfa9-4ae1-8e70-c51f57abf81a" taxonomyFieldName="WBDocs_Originating_Unit" anchorId="00000000-0000-0000-0000-000000000000" index="17" taxonomyMulti="true" ma:isKeyword="false">
      <xsd:complexType xmlns:xsd="http://www.w3.org/2001/XMLSchema">
        <xsd:sequence xmlns:xsd="http://www.w3.org/2001/XMLSchema">
          <xsd:element xmlns:xsd="http://www.w3.org/2001/XMLSchema" maxOccurs="1" minOccurs="0" ref="pc:Terms"/>
        </xsd:sequence>
      </xsd:complexType>
    </xsd:element>
    <xsd:element xmlns:xsd="http://www.w3.org/2001/XMLSchema" nillable="true" displayName="Subcategory" index="21" hidden="true" internalName="OneCMS_Subcategory" readOnly="false" name="OneCMS_Subcategory">
      <xsd:simpleType xmlns:xsd="http://www.w3.org/2001/XMLSchema">
        <xsd:restriction xmlns:xsd="http://www.w3.org/2001/XMLSchema" base="dms:Text"/>
      </xsd:simpleType>
    </xsd:element>
    <xsd:element xmlns:xsd="http://www.w3.org/2001/XMLSchema" nillable="true" displayName="Category" index="22" hidden="true" internalName="OneCMS_Category" readOnly="false" name="OneCMS_Category">
      <xsd:simpleType xmlns:xsd="http://www.w3.org/2001/XMLSchema">
        <xsd:restriction xmlns:xsd="http://www.w3.org/2001/XMLSchema" base="dms:Text"/>
      </xsd:simpleType>
    </xsd:element>
    <xsd:element xmlns:xsd="http://www.w3.org/2001/XMLSchema" nillable="true" displayName="Abstract" index="23" hidden="true" internalName="Abstract" readOnly="false" name="Abstract">
      <xsd:simpleType xmlns:xsd="http://www.w3.org/2001/XMLSchema">
        <xsd:restriction xmlns:xsd="http://www.w3.org/2001/XMLSchema" base="dms:Note"/>
      </xsd:simpleType>
    </xsd:element>
  </xsd:schema>
  <xsd:schema xmlns:xsd="http://www.w3.org/2001/XMLSchema" attributeFormDefault="unqualified" blockDefault="#all" targetNamespace="http://schemas.openxmlformats.org/package/2006/metadata/core-properties" elementFormDefault="qualified">
    <xsd:import xmlns:xsd="http://www.w3.org/2001/XMLSchema" namespace="http://purl.org/dc/elements/1.1/" schemaLocation="http://dublincore.org/schemas/xmls/qdc/2003/04/02/dc.xsd"/>
    <xsd:import xmlns:xsd="http://www.w3.org/2001/XMLSchema" namespace="http://purl.org/dc/terms/" schemaLocation="http://dublincore.org/schemas/xmls/qdc/2003/04/02/dcterms.xsd"/>
    <xsd:element xmlns:xsd="http://www.w3.org/2001/XMLSchema" type="CT_coreProperties" name="coreProperties"/>
    <xsd:complexType xmlns:xsd="http://www.w3.org/2001/XMLSchema" name="CT_coreProperties">
      <xsd:all xmlns:xsd="http://www.w3.org/2001/XMLSchema">
        <xsd:element xmlns:xsd="http://www.w3.org/2001/XMLSchema" maxOccurs="1" minOccurs="0" displayName="Author" index="2" ref="dc:creator"/>
        <xsd:element xmlns:xsd="http://www.w3.org/2001/XMLSchema" maxOccurs="1" minOccurs="0" ref="dcterms:created"/>
        <xsd:element xmlns:xsd="http://www.w3.org/2001/XMLSchema" maxOccurs="1" minOccurs="0" ref="dc:identifier"/>
        <xsd:element xmlns:xsd="http://www.w3.org/2001/XMLSchema" maxOccurs="1" minOccurs="0" displayName="Content Type" index="19" type="xsd:string" name="contentType"/>
        <xsd:element xmlns:xsd="http://www.w3.org/2001/XMLSchema" maxOccurs="1" minOccurs="0" displayName="Title" index="1" ref="dc:title"/>
        <xsd:element xmlns:xsd="http://www.w3.org/2001/XMLSchema" maxOccurs="1" minOccurs="0" ref="dc:subject"/>
        <xsd:element xmlns:xsd="http://www.w3.org/2001/XMLSchema" maxOccurs="1" minOccurs="0" ref="dc:description"/>
        <xsd:element xmlns:xsd="http://www.w3.org/2001/XMLSchema" maxOccurs="1" minOccurs="0" type="xsd:string" name="keywords"/>
        <xsd:element xmlns:xsd="http://www.w3.org/2001/XMLSchema" maxOccurs="1" minOccurs="0" ref="dc:language"/>
        <xsd:element xmlns:xsd="http://www.w3.org/2001/XMLSchema" maxOccurs="1" minOccurs="0" type="xsd:string" name="category"/>
        <xsd:element xmlns:xsd="http://www.w3.org/2001/XMLSchema" maxOccurs="1" minOccurs="0" type="xsd:string" name="version"/>
        <xsd:element xmlns:xsd="http://www.w3.org/2001/XMLSchema" maxOccurs="1" minOccurs="0" type="xsd:string" name="revision">
          <xsd:annotation xmlns:xsd="http://www.w3.org/2001/XMLSchema">
            <xsd:documentation xmlns:xsd="http://www.w3.org/2001/XMLSchema">
                        This value indicates the number of saves or revisions. The application is responsible for updating this value after each revision.
                    </xsd:documentation>
          </xsd:annotation>
        </xsd:element>
        <xsd:element xmlns:xsd="http://www.w3.org/2001/XMLSchema" maxOccurs="1" minOccurs="0" type="xsd:string" name="lastModifiedBy"/>
        <xsd:element xmlns:xsd="http://www.w3.org/2001/XMLSchema" maxOccurs="1" minOccurs="0" ref="dcterms:modified"/>
        <xsd:element xmlns:xsd="http://www.w3.org/2001/XMLSchema" maxOccurs="1" minOccurs="0" type="xsd:string" name="contentStatus"/>
      </xsd:all>
    </xsd:complexType>
  </xsd:schema>
  <xs:schema xmlns:xs="http://www.w3.org/2001/XMLSchema" attributeFormDefault="unqualified" targetNamespace="http://schemas.microsoft.com/office/infopath/2007/PartnerControls" elementFormDefault="qualified">
    <xs:element xmlns:xs="http://www.w3.org/2001/XMLSchema" name="Person">
      <xs:complexType xmlns:xs="http://www.w3.org/2001/XMLSchema">
        <xs:sequence xmlns:xs="http://www.w3.org/2001/XMLSchema">
          <xs:element xmlns:xs="http://www.w3.org/2001/XMLSchema" minOccurs="0" ref="pc:DisplayName"/>
          <xs:element xmlns:xs="http://www.w3.org/2001/XMLSchema" minOccurs="0" ref="pc:AccountId"/>
          <xs:element xmlns:xs="http://www.w3.org/2001/XMLSchema" minOccurs="0" ref="pc:AccountType"/>
        </xs:sequence>
      </xs:complexType>
    </xs:element>
    <xs:element xmlns:xs="http://www.w3.org/2001/XMLSchema" type="xs:string" name="DisplayName"/>
    <xs:element xmlns:xs="http://www.w3.org/2001/XMLSchema" type="xs:string" name="AccountId"/>
    <xs:element xmlns:xs="http://www.w3.org/2001/XMLSchema" type="xs:string" name="AccountType"/>
    <xs:element xmlns:xs="http://www.w3.org/2001/XMLSchema" name="BDCAssociatedEntity">
      <xs:complexType xmlns:xs="http://www.w3.org/2001/XMLSchema">
        <xs:sequence xmlns:xs="http://www.w3.org/2001/XMLSchema">
          <xs:element xmlns:xs="http://www.w3.org/2001/XMLSchema" maxOccurs="unbounded" minOccurs="0" ref="pc:BDCEntity"/>
        </xs:sequence>
        <xs:attribute xmlns:xs="http://www.w3.org/2001/XMLSchema" ref="pc:EntityNamespace"/>
        <xs:attribute xmlns:xs="http://www.w3.org/2001/XMLSchema" ref="pc:EntityName"/>
        <xs:attribute xmlns:xs="http://www.w3.org/2001/XMLSchema" ref="pc:SystemInstanceName"/>
        <xs:attribute xmlns:xs="http://www.w3.org/2001/XMLSchema" ref="pc:AssociationName"/>
      </xs:complexType>
    </xs:element>
    <xs:attribute xmlns:xs="http://www.w3.org/2001/XMLSchema" type="xs:string" name="EntityNamespace"/>
    <xs:attribute xmlns:xs="http://www.w3.org/2001/XMLSchema" type="xs:string" name="EntityName"/>
    <xs:attribute xmlns:xs="http://www.w3.org/2001/XMLSchema" type="xs:string" name="SystemInstanceName"/>
    <xs:attribute xmlns:xs="http://www.w3.org/2001/XMLSchema" type="xs:string" name="AssociationName"/>
    <xs:element xmlns:xs="http://www.w3.org/2001/XMLSchema" name="BDCEntity">
      <xs:complexType xmlns:xs="http://www.w3.org/2001/XMLSchema">
        <xs:sequence xmlns:xs="http://www.w3.org/2001/XMLSchema">
          <xs:element xmlns:xs="http://www.w3.org/2001/XMLSchema" minOccurs="0" ref="pc:EntityDisplayName"/>
          <xs:element xmlns:xs="http://www.w3.org/2001/XMLSchema" minOccurs="0" ref="pc:EntityInstanceReference"/>
          <xs:element xmlns:xs="http://www.w3.org/2001/XMLSchema" minOccurs="0" ref="pc:EntityId1"/>
          <xs:element xmlns:xs="http://www.w3.org/2001/XMLSchema" minOccurs="0" ref="pc:EntityId2"/>
          <xs:element xmlns:xs="http://www.w3.org/2001/XMLSchema" minOccurs="0" ref="pc:EntityId3"/>
          <xs:element xmlns:xs="http://www.w3.org/2001/XMLSchema" minOccurs="0" ref="pc:EntityId4"/>
          <xs:element xmlns:xs="http://www.w3.org/2001/XMLSchema" minOccurs="0" ref="pc:EntityId5"/>
        </xs:sequence>
      </xs:complexType>
    </xs:element>
    <xs:element xmlns:xs="http://www.w3.org/2001/XMLSchema" type="xs:string" name="EntityDisplayName"/>
    <xs:element xmlns:xs="http://www.w3.org/2001/XMLSchema" type="xs:string" name="EntityInstanceReference"/>
    <xs:element xmlns:xs="http://www.w3.org/2001/XMLSchema" type="xs:string" name="EntityId1"/>
    <xs:element xmlns:xs="http://www.w3.org/2001/XMLSchema" type="xs:string" name="EntityId2"/>
    <xs:element xmlns:xs="http://www.w3.org/2001/XMLSchema" type="xs:string" name="EntityId3"/>
    <xs:element xmlns:xs="http://www.w3.org/2001/XMLSchema" type="xs:string" name="EntityId4"/>
    <xs:element xmlns:xs="http://www.w3.org/2001/XMLSchema" type="xs:string" name="EntityId5"/>
    <xs:element xmlns:xs="http://www.w3.org/2001/XMLSchema" name="Terms">
      <xs:complexType xmlns:xs="http://www.w3.org/2001/XMLSchema">
        <xs:sequence xmlns:xs="http://www.w3.org/2001/XMLSchema">
          <xs:element xmlns:xs="http://www.w3.org/2001/XMLSchema" maxOccurs="unbounded" minOccurs="0" ref="pc:TermInfo"/>
        </xs:sequence>
      </xs:complexType>
    </xs:element>
    <xs:element xmlns:xs="http://www.w3.org/2001/XMLSchema" name="TermInfo">
      <xs:complexType xmlns:xs="http://www.w3.org/2001/XMLSchema">
        <xs:sequence xmlns:xs="http://www.w3.org/2001/XMLSchema">
          <xs:element xmlns:xs="http://www.w3.org/2001/XMLSchema" minOccurs="0" ref="pc:TermName"/>
          <xs:element xmlns:xs="http://www.w3.org/2001/XMLSchema" minOccurs="0" ref="pc:TermId"/>
        </xs:sequence>
      </xs:complexType>
    </xs:element>
    <xs:element xmlns:xs="http://www.w3.org/2001/XMLSchema" type="xs:string" name="TermName"/>
    <xs:element xmlns:xs="http://www.w3.org/2001/XMLSchema" type="xs:string" name="TermId"/>
  </xs:schema>
</ct:contentTypeSchem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791675-8AC9-473A-AC99-76C61E98F48B}">
  <ds:schemaRefs/>
</ds:datastoreItem>
</file>

<file path=customXml/itemProps3.xml><?xml version="1.0" encoding="utf-8"?>
<ds:datastoreItem xmlns:ds="http://schemas.openxmlformats.org/officeDocument/2006/customXml" ds:itemID="{4E6D0BC0-78E4-40A6-B969-4AC5EE0878CC}">
  <ds:schemaRefs/>
</ds:datastoreItem>
</file>

<file path=customXml/itemProps4.xml><?xml version="1.0" encoding="utf-8"?>
<ds:datastoreItem xmlns:ds="http://schemas.openxmlformats.org/officeDocument/2006/customXml" ds:itemID="{B49A1BD3-F2CF-47DD-B9E3-6531F3DF2A26}">
  <ds:schemaRefs/>
</ds:datastoreItem>
</file>

<file path=customXml/itemProps5.xml><?xml version="1.0" encoding="utf-8"?>
<ds:datastoreItem xmlns:ds="http://schemas.openxmlformats.org/officeDocument/2006/customXml" ds:itemID="{E8750575-62ED-4FC4-AB0B-68741800ABE9}">
  <ds:schemaRefs/>
</ds:datastoreItem>
</file>

<file path=customXml/itemProps6.xml><?xml version="1.0" encoding="utf-8"?>
<ds:datastoreItem xmlns:ds="http://schemas.openxmlformats.org/officeDocument/2006/customXml" ds:itemID="{91374713-3CA4-497B-9864-4D1C4B0890D1}">
  <ds:schemaRefs/>
</ds:datastoreItem>
</file>

<file path=docProps/app.xml><?xml version="1.0" encoding="utf-8"?>
<Properties xmlns="http://schemas.openxmlformats.org/officeDocument/2006/extended-properties" xmlns:vt="http://schemas.openxmlformats.org/officeDocument/2006/docPropsVTypes">
  <Template>Normal.dotm</Template>
  <Company>WBG</Company>
  <Pages>15</Pages>
  <Words>2636</Words>
  <Characters>2774</Characters>
  <Lines>13</Lines>
  <Paragraphs>86</Paragraphs>
  <TotalTime>14</TotalTime>
  <ScaleCrop>false</ScaleCrop>
  <LinksUpToDate>false</LinksUpToDate>
  <CharactersWithSpaces>2780</CharactersWithSpaces>
  <Application>WPS Office_7.3.1.8967_F1E327BC-269C-435d-A152-05C5408002CA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2025-11-28T14:07:00Z</dcterms:created>
  <dc:creator>Chenfei QU</dc:creator>
  <cp:lastModifiedBy>张万军</cp:lastModifiedBy>
  <dcterms:modified xsi:type="dcterms:W3CDTF">2026-07-28T18:40:13Z</dcterms:modified>
  <cp:revision>344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eyJoZGlkIjoiMjIyMWMzOGE3YjUzODgxZmVkMTc5NzMzZDFlZDMyOGYiLCJ1c2VySWQiOiIyMzAzMjg4NTkifQ==</vt:lpwstr>
  </property>
  <property fmtid="{D5CDD505-2E9C-101B-9397-08002B2CF9AE}" pid="3" name="KSOProductBuildVer">
    <vt:lpwstr>2052-7.3.1.8967</vt:lpwstr>
  </property>
  <property fmtid="{D5CDD505-2E9C-101B-9397-08002B2CF9AE}" pid="4" name="ICV">
    <vt:lpwstr>71BC5F6FE83E905E73D2AF690EACAB6A_43</vt:lpwstr>
  </property>
  <property fmtid="{D5CDD505-2E9C-101B-9397-08002B2CF9AE}" pid="5" name="ContentTypeId">
    <vt:lpwstr>0x010100F4C63C3BD852AE468EAEFD0E6C57C64F02008C015598D0747D4283BB1F9D49ADADC6</vt:lpwstr>
  </property>
  <property fmtid="{D5CDD505-2E9C-101B-9397-08002B2CF9AE}" pid="6" name="ClassificationContentMarkingFooterShapeIds">
    <vt:lpwstr>3aa9c01d,203422c8,72947778</vt:lpwstr>
  </property>
  <property fmtid="{D5CDD505-2E9C-101B-9397-08002B2CF9AE}" pid="7" name="ClassificationContentMarkingFooterFontProps">
    <vt:lpwstr>#000000,10,Aptos</vt:lpwstr>
  </property>
  <property fmtid="{D5CDD505-2E9C-101B-9397-08002B2CF9AE}" pid="8" name="ClassificationContentMarkingFooterText">
    <vt:lpwstr>Official Use Only</vt:lpwstr>
  </property>
  <property fmtid="{D5CDD505-2E9C-101B-9397-08002B2CF9AE}" pid="9" name="MSIP_Label_f1bf45b6-5649-4236-82a3-f45024cd282e_Enabled">
    <vt:lpwstr>true</vt:lpwstr>
  </property>
  <property fmtid="{D5CDD505-2E9C-101B-9397-08002B2CF9AE}" pid="10" name="MSIP_Label_f1bf45b6-5649-4236-82a3-f45024cd282e_SetDate">
    <vt:lpwstr>2026-05-07T13:33:58Z</vt:lpwstr>
  </property>
  <property fmtid="{D5CDD505-2E9C-101B-9397-08002B2CF9AE}" pid="11" name="MSIP_Label_f1bf45b6-5649-4236-82a3-f45024cd282e_Method">
    <vt:lpwstr>Standard</vt:lpwstr>
  </property>
  <property fmtid="{D5CDD505-2E9C-101B-9397-08002B2CF9AE}" pid="12" name="MSIP_Label_f1bf45b6-5649-4236-82a3-f45024cd282e_Name">
    <vt:lpwstr>Official Use Only</vt:lpwstr>
  </property>
  <property fmtid="{D5CDD505-2E9C-101B-9397-08002B2CF9AE}" pid="13" name="MSIP_Label_f1bf45b6-5649-4236-82a3-f45024cd282e_SiteId">
    <vt:lpwstr>31a2fec0-266b-4c67-b56e-2796d8f59c36</vt:lpwstr>
  </property>
  <property fmtid="{D5CDD505-2E9C-101B-9397-08002B2CF9AE}" pid="14" name="MSIP_Label_f1bf45b6-5649-4236-82a3-f45024cd282e_ActionId">
    <vt:lpwstr>6e0f22f4-4e5b-4440-b53e-97d4f81e75cb</vt:lpwstr>
  </property>
  <property fmtid="{D5CDD505-2E9C-101B-9397-08002B2CF9AE}" pid="15" name="MSIP_Label_f1bf45b6-5649-4236-82a3-f45024cd282e_ContentBits">
    <vt:lpwstr>2</vt:lpwstr>
  </property>
  <property fmtid="{D5CDD505-2E9C-101B-9397-08002B2CF9AE}" pid="16" name="MSIP_Label_f1bf45b6-5649-4236-82a3-f45024cd282e_Tag">
    <vt:lpwstr>10, 3, 0, 1</vt:lpwstr>
  </property>
  <property fmtid="{D5CDD505-2E9C-101B-9397-08002B2CF9AE}" pid="17" name="WBDocs_Local_Document_Type">
    <vt:lpwstr/>
  </property>
  <property fmtid="{D5CDD505-2E9C-101B-9397-08002B2CF9AE}" pid="18" name="MediaServiceImageTags">
    <vt:lpwstr/>
  </property>
  <property fmtid="{D5CDD505-2E9C-101B-9397-08002B2CF9AE}" pid="19" name="lcf76f155ced4ddcb4097134ff3c332f">
    <vt:lpwstr/>
  </property>
  <property fmtid="{D5CDD505-2E9C-101B-9397-08002B2CF9AE}" pid="20" name="WBDocs_Originating_Unit">
    <vt:lpwstr>5;#EACCF - WB Off: Beijing|2435c311-dfa9-4ae1-8e70-c51f57abf81a</vt:lpwstr>
  </property>
  <property fmtid="{D5CDD505-2E9C-101B-9397-08002B2CF9AE}" pid="21" name="docLangLocale">
    <vt:lpwstr>zh-hans</vt:lpwstr>
  </property>
  <property fmtid="{D5CDD505-2E9C-101B-9397-08002B2CF9AE}" pid="22" name="docLang">
    <vt:lpwstr>zh</vt:lpwstr>
  </property>
</Properties>
</file>