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DC5C2">
      <w:pPr>
        <w:widowControl/>
        <w:jc w:val="center"/>
        <w:outlineLvl w:val="0"/>
        <w:rPr>
          <w:rFonts w:ascii="Times New Roman" w:hAnsi="Times New Roman"/>
          <w:sz w:val="30"/>
        </w:rPr>
      </w:pPr>
      <w:r>
        <w:rPr>
          <w:rFonts w:ascii="Times New Roman" w:hAnsi="Times New Roman"/>
          <w:sz w:val="30"/>
        </w:rPr>
        <w:t>世界银行中国市场伙伴实施基金赠款项目（P504267）</w:t>
      </w:r>
    </w:p>
    <w:p w14:paraId="6FBDC5C3">
      <w:pPr>
        <w:widowControl/>
        <w:jc w:val="center"/>
        <w:outlineLvl w:val="0"/>
        <w:rPr>
          <w:rFonts w:ascii="Times New Roman" w:hAnsi="Times New Roman"/>
          <w:sz w:val="30"/>
        </w:rPr>
      </w:pPr>
      <w:r>
        <w:rPr>
          <w:rFonts w:ascii="Times New Roman" w:hAnsi="Times New Roman"/>
          <w:sz w:val="30"/>
        </w:rPr>
        <w:t>“加强国家ETS配额管理及MRV体系优化行业活动</w:t>
      </w:r>
    </w:p>
    <w:p w14:paraId="6FBDC5C4">
      <w:pPr>
        <w:widowControl/>
        <w:jc w:val="center"/>
        <w:outlineLvl w:val="0"/>
        <w:rPr>
          <w:rFonts w:ascii="Times New Roman" w:hAnsi="Times New Roman"/>
          <w:sz w:val="30"/>
        </w:rPr>
      </w:pPr>
      <w:r>
        <w:rPr>
          <w:rFonts w:ascii="方正小标宋简体" w:hAnsi="Calibri Light"/>
          <w:sz w:val="30"/>
        </w:rPr>
        <w:t>-</w:t>
      </w:r>
      <w:r>
        <w:rPr>
          <w:rFonts w:ascii="Times New Roman" w:hAnsi="Times New Roman"/>
          <w:sz w:val="30"/>
        </w:rPr>
        <w:t>水泥行业”咨询服务</w:t>
      </w:r>
    </w:p>
    <w:p w14:paraId="6FBDC5C5">
      <w:pPr>
        <w:widowControl/>
        <w:jc w:val="center"/>
        <w:outlineLvl w:val="0"/>
        <w:rPr>
          <w:rFonts w:ascii="Times New Roman" w:hAnsi="Times New Roman"/>
          <w:sz w:val="30"/>
        </w:rPr>
      </w:pPr>
      <w:r>
        <w:rPr>
          <w:rFonts w:ascii="Times New Roman" w:hAnsi="Times New Roman"/>
          <w:sz w:val="30"/>
        </w:rPr>
        <w:t>工作任务大纲（PMI-8-CQS）</w:t>
      </w:r>
    </w:p>
    <w:p w14:paraId="6FBDC5C6">
      <w:pPr>
        <w:rPr>
          <w:rFonts w:ascii="Times New Roman" w:hAnsi="Times New Roman"/>
          <w:sz w:val="28"/>
        </w:rPr>
      </w:pPr>
    </w:p>
    <w:p w14:paraId="0BA754B5">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一、项目背景和意义</w:t>
      </w:r>
    </w:p>
    <w:p w14:paraId="6FBDC5C8">
      <w:pPr>
        <w:spacing w:before="156" w:beforeLines="50" w:after="156" w:afterLines="50"/>
        <w:ind w:firstLine="560" w:firstLineChars="200"/>
        <w:rPr>
          <w:rFonts w:ascii="Times New Roman" w:hAnsi="Times New Roman" w:eastAsia="仿宋" w:cs="Times New Roman"/>
          <w:sz w:val="28"/>
        </w:rPr>
      </w:pPr>
      <w:r>
        <w:rPr>
          <w:rFonts w:hint="eastAsia" w:ascii="Times New Roman" w:hAnsi="Times New Roman" w:eastAsia="仿宋" w:cs="Times New Roman"/>
          <w:sz w:val="28"/>
          <w:szCs w:val="28"/>
        </w:rPr>
        <w:t>为推动中国碳排放权交易市场与温室气体自愿减排交易市场的稳定发展及持续完善，世界银行与生态环境部合作实施了“中国市场伙伴实施基金项目”。该项目旨在支持中国国家层面碳定价工具的设计、实施与管理能力提升，包括优化完善全国碳排放权交易市场（</w:t>
      </w:r>
      <w:r>
        <w:rPr>
          <w:rFonts w:ascii="Times New Roman" w:hAnsi="Times New Roman" w:eastAsia="仿宋" w:cs="Times New Roman"/>
          <w:sz w:val="28"/>
          <w:szCs w:val="28"/>
        </w:rPr>
        <w:t>ETS）与国家核证自愿减排量（CCER）体系，助力其与《巴黎协定》第六条下的国际碳交易实现衔接兼容；同时，将分析引入碳税以补充ETS的可行性。生态环境部对外合作与交流中心（FECO）受委托作为项目管理办公室（PMO），负责统筹项目实施工作</w:t>
      </w:r>
      <w:r>
        <w:rPr>
          <w:rFonts w:ascii="Times New Roman" w:hAnsi="Times New Roman" w:eastAsia="仿宋" w:cs="Times New Roman"/>
          <w:sz w:val="28"/>
        </w:rPr>
        <w:t>。</w:t>
      </w:r>
    </w:p>
    <w:p w14:paraId="6FBDC5C9">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中国的碳市场由全国碳排放权交易市场和全国温室气体自愿减排交易市场</w:t>
      </w:r>
      <w:r>
        <w:rPr>
          <w:rFonts w:hint="eastAsia" w:ascii="Times New Roman" w:hAnsi="Times New Roman" w:eastAsia="仿宋" w:cs="Times New Roman"/>
          <w:sz w:val="28"/>
        </w:rPr>
        <w:t>共同</w:t>
      </w:r>
      <w:r>
        <w:rPr>
          <w:rFonts w:ascii="Times New Roman" w:hAnsi="Times New Roman" w:eastAsia="仿宋" w:cs="Times New Roman"/>
          <w:sz w:val="28"/>
        </w:rPr>
        <w:t>组成。作为全球覆盖排放量最大的碳市场，全国碳排放权交易市场自2021年7月以发电行业为突破口启动上线交易，经过数个履约周期的建设，总体运行平稳，制度规范日趋完善</w:t>
      </w:r>
      <w:r>
        <w:rPr>
          <w:rFonts w:hint="eastAsia" w:ascii="Times New Roman" w:hAnsi="Times New Roman" w:eastAsia="仿宋" w:cs="Times New Roman"/>
          <w:sz w:val="28"/>
        </w:rPr>
        <w:t>、</w:t>
      </w:r>
      <w:r>
        <w:rPr>
          <w:rFonts w:ascii="Times New Roman" w:hAnsi="Times New Roman" w:eastAsia="仿宋" w:cs="Times New Roman"/>
          <w:sz w:val="28"/>
        </w:rPr>
        <w:t>碳排放数据质量持续改善</w:t>
      </w:r>
      <w:r>
        <w:rPr>
          <w:rFonts w:hint="eastAsia" w:ascii="Times New Roman" w:hAnsi="Times New Roman" w:eastAsia="仿宋" w:cs="Times New Roman"/>
          <w:sz w:val="28"/>
        </w:rPr>
        <w:t>、</w:t>
      </w:r>
      <w:r>
        <w:rPr>
          <w:rFonts w:ascii="Times New Roman" w:hAnsi="Times New Roman" w:eastAsia="仿宋" w:cs="Times New Roman"/>
          <w:sz w:val="28"/>
        </w:rPr>
        <w:t>价格发现机制作用日益显现</w:t>
      </w:r>
      <w:r>
        <w:rPr>
          <w:rFonts w:hint="eastAsia" w:ascii="Times New Roman" w:hAnsi="Times New Roman" w:eastAsia="仿宋" w:cs="Times New Roman"/>
          <w:sz w:val="28"/>
        </w:rPr>
        <w:t>。</w:t>
      </w:r>
      <w:r>
        <w:rPr>
          <w:rFonts w:ascii="Times New Roman" w:hAnsi="Times New Roman" w:eastAsia="仿宋" w:cs="Times New Roman"/>
          <w:sz w:val="28"/>
        </w:rPr>
        <w:t>2025年</w:t>
      </w:r>
      <w:r>
        <w:rPr>
          <w:rFonts w:hint="eastAsia" w:ascii="Times New Roman" w:hAnsi="Times New Roman" w:eastAsia="仿宋" w:cs="Times New Roman"/>
          <w:sz w:val="28"/>
        </w:rPr>
        <w:t>，</w:t>
      </w:r>
      <w:r>
        <w:rPr>
          <w:rFonts w:ascii="Times New Roman" w:hAnsi="Times New Roman" w:eastAsia="仿宋" w:cs="Times New Roman"/>
          <w:sz w:val="28"/>
        </w:rPr>
        <w:t>经国务院批准，钢铁、水泥、铝冶炼行业正式纳入全国碳排放权交易市场管理</w:t>
      </w:r>
      <w:r>
        <w:rPr>
          <w:rFonts w:hint="eastAsia" w:ascii="Times New Roman" w:hAnsi="Times New Roman" w:eastAsia="仿宋" w:cs="Times New Roman"/>
          <w:sz w:val="28"/>
        </w:rPr>
        <w:t>，</w:t>
      </w:r>
      <w:r>
        <w:rPr>
          <w:rFonts w:hint="eastAsia" w:ascii="Times New Roman" w:hAnsi="Times New Roman" w:eastAsia="仿宋" w:cs="Times New Roman"/>
          <w:sz w:val="28"/>
          <w:szCs w:val="28"/>
        </w:rPr>
        <w:t>标志着全国碳市场首次实现行业扩围。</w:t>
      </w:r>
      <w:r>
        <w:rPr>
          <w:rFonts w:ascii="Times New Roman" w:hAnsi="Times New Roman" w:eastAsia="仿宋" w:cs="Times New Roman"/>
          <w:sz w:val="28"/>
          <w:szCs w:val="28"/>
        </w:rPr>
        <w:t>扩围后，全国碳排放权交易市场覆盖约3500家重点排放单位，年覆盖二氧化碳排放量超过80亿吨，其排放量占中国碳排放总量的60%左右</w:t>
      </w:r>
      <w:r>
        <w:rPr>
          <w:rFonts w:ascii="Times New Roman" w:hAnsi="Times New Roman" w:eastAsia="仿宋" w:cs="Times New Roman"/>
          <w:sz w:val="28"/>
        </w:rPr>
        <w:t>。全国温室气体自愿减排交易市场于2024年1月启动，制度体系、方法学、支撑系统及监管体系正逐步完善。</w:t>
      </w:r>
    </w:p>
    <w:p w14:paraId="7E692342">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2024年，国务院发布《碳排放权交易管理暂行条例》（国务院令第775号），为全国碳市场运行确立了统一的法律与制度框架。2025年，生态环境部发布了《全国碳排放权交易市场覆盖钢铁、水泥、铝冶炼行业工作方案》，明确了水泥等新纳入行业的分阶段推进路径。2025年8月，中共中央办公厅、国务院办公厅发布《关于推进绿色低碳转型加强全国碳市场建设的意见》，提出到2027年对碳排放总量相对稳定的行业优先实施配额总量控制，稳妥推行免费和有偿相结合的碳排放配额分配方式，有序提高有偿分配比例，并对数据质量管理体系建设、碳市场与绿电绿证等市场化机制的政策协同等作出明确安排。2026年，《中华人民共和国国民经济和社会发展第十五个五年规划纲要》（以下简称《纲要》）颁布实施，明确提出全面实施碳排放总量和强度双控制度，坚持政策引导和市场激励相结合，稳步实施地方碳考核、行业碳管控、企业碳管理、项目碳评价、产品碳足迹等政策制度。《纲要》同时要求扩大全国碳排放权交易市场覆盖范围，推动重点领域节能降碳。</w:t>
      </w:r>
    </w:p>
    <w:p w14:paraId="0E8935CB">
      <w:pPr>
        <w:ind w:firstLine="560" w:firstLineChars="200"/>
        <w:rPr>
          <w:rFonts w:ascii="Times New Roman" w:hAnsi="Times New Roman" w:eastAsia="仿宋" w:cs="Times New Roman"/>
          <w:sz w:val="28"/>
          <w:szCs w:val="28"/>
        </w:rPr>
      </w:pPr>
      <w:r>
        <w:rPr>
          <w:rFonts w:ascii="Times New Roman" w:hAnsi="Times New Roman" w:eastAsia="仿宋" w:cs="Times New Roman"/>
          <w:sz w:val="28"/>
        </w:rPr>
        <w:t>水泥行业作为国民经济基础性原材料行业，也是碳排放重点行业之一，其碳排放量在我国工业排放总量中占有相当比重。</w:t>
      </w:r>
      <w:r>
        <w:rPr>
          <w:rFonts w:hint="eastAsia" w:ascii="Times New Roman" w:hAnsi="Times New Roman" w:eastAsia="仿宋" w:cs="Times New Roman"/>
          <w:sz w:val="28"/>
          <w:szCs w:val="28"/>
        </w:rPr>
        <w:t>2025年是水泥行业纳入全国碳排放权交易市场的首个管控年度，相关企业需于2025年年底前完成首次履约工作。为保障水泥行业平稳有序纳入碳市场，2025年1月，生态环境部发布了《企业温室气体排放核算与报告指南 水泥行业》及《企业温室气体排放核查技术指南 水泥行业》，明确了核算边界、排放源确定、数据质量控制方案要求及核查技术要求。同年12月，生态环境部印发了《2024、2025年度全国碳排放权交易市场钢铁、水泥、铝冶炼行业配额总量和分配方案》，为水泥行业配额分配提供了技术依据。</w:t>
      </w:r>
    </w:p>
    <w:p w14:paraId="53C76E24">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当前，水泥行业配额分配方案处于实施初期，仍需持续修改以更好匹配行业工艺特点与减排潜力。在配额管理方面，水泥行业生产过程涉及熟料烧成、原料预处理、协同处置等多个环节，排放源类型包括燃料燃烧排放和工业过程排放，现行基于碳排放强度的基准线法配额分配方案的适用性和精细化程度有待提高。随着碳排放权交易市场扩围和碳市场顶层设计方向逐步明确，水泥行业需提前研究适应配额总量控制及有偿分配转型的制度安排和管理方案。在监测、报告、核查（以下简称“MRV”）体系方面，行业MRV体系虽已初步建立，但在数据质量控制、核算指南可操作性、核查工作的规范化与一致性等方面仍有提升空间。此外，开展碳排放</w:t>
      </w:r>
      <w:r>
        <w:rPr>
          <w:rFonts w:hint="eastAsia" w:ascii="Times New Roman" w:hAnsi="Times New Roman" w:eastAsia="仿宋" w:cs="Times New Roman"/>
          <w:sz w:val="28"/>
          <w:highlight w:val="none"/>
        </w:rPr>
        <w:t>创新</w:t>
      </w:r>
      <w:r>
        <w:rPr>
          <w:rFonts w:ascii="Times New Roman" w:hAnsi="Times New Roman" w:eastAsia="仿宋" w:cs="Times New Roman"/>
          <w:sz w:val="28"/>
        </w:rPr>
        <w:t>监测技术</w:t>
      </w:r>
      <w:r>
        <w:rPr>
          <w:rFonts w:hint="eastAsia" w:ascii="Times New Roman" w:hAnsi="Times New Roman" w:eastAsia="仿宋" w:cs="Times New Roman"/>
          <w:sz w:val="28"/>
        </w:rPr>
        <w:t>应用</w:t>
      </w:r>
      <w:r>
        <w:rPr>
          <w:rFonts w:ascii="Times New Roman" w:hAnsi="Times New Roman" w:eastAsia="仿宋" w:cs="Times New Roman"/>
          <w:sz w:val="28"/>
        </w:rPr>
        <w:t>，对于验证创新监测技术在水泥行业的可行性和有效性、推动MRV体系持续完善具有重要意义。</w:t>
      </w:r>
    </w:p>
    <w:p w14:paraId="6FBDC5CA">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水泥行业</w:t>
      </w:r>
      <w:r>
        <w:rPr>
          <w:rFonts w:hint="eastAsia" w:ascii="Times New Roman" w:hAnsi="Times New Roman" w:eastAsia="仿宋" w:cs="Times New Roman"/>
          <w:sz w:val="28"/>
          <w:szCs w:val="28"/>
        </w:rPr>
        <w:t>作为首批扩围行业，</w:t>
      </w:r>
      <w:r>
        <w:rPr>
          <w:rFonts w:ascii="Times New Roman" w:hAnsi="Times New Roman" w:eastAsia="仿宋" w:cs="Times New Roman"/>
          <w:sz w:val="28"/>
        </w:rPr>
        <w:t>其配额管理的科学性与MRV体系的完整性，关系到全国碳市场的运行质量与公信力。为此，系统梳理水泥行业在配额管理与MRV体系中的关键问题，并结合创新监测技术加以支撑和修改，成为当前全国碳市场制度完善的重要环节</w:t>
      </w:r>
      <w:r>
        <w:rPr>
          <w:rFonts w:hint="eastAsia" w:ascii="Times New Roman" w:hAnsi="Times New Roman" w:eastAsia="仿宋" w:cs="Times New Roman"/>
          <w:sz w:val="28"/>
        </w:rPr>
        <w:t>。</w:t>
      </w:r>
    </w:p>
    <w:p w14:paraId="6FBDC5CB">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二、</w:t>
      </w:r>
      <w:r>
        <w:rPr>
          <w:rFonts w:ascii="Times New Roman" w:hAnsi="Times New Roman" w:eastAsia="仿宋" w:cs="Times New Roman"/>
          <w:b/>
          <w:bCs/>
          <w:sz w:val="28"/>
          <w:szCs w:val="28"/>
        </w:rPr>
        <w:t>咨询服务目标</w:t>
      </w:r>
    </w:p>
    <w:p w14:paraId="6FBDC5CC">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本分包任务旨在聚焦水泥行业配额管理与MRV体系协同优化，通过系统梳理水泥行业在碳排放权交易市场实施过程中的运行实况，识别现行政策在技术规范、执行流程与协同机制等方面存在的问题与薄弱环节</w:t>
      </w:r>
      <w:r>
        <w:rPr>
          <w:rFonts w:hint="eastAsia" w:ascii="Times New Roman" w:hAnsi="Times New Roman" w:eastAsia="仿宋" w:cs="Times New Roman"/>
          <w:sz w:val="28"/>
        </w:rPr>
        <w:t>，</w:t>
      </w:r>
      <w:r>
        <w:rPr>
          <w:rFonts w:ascii="Times New Roman" w:hAnsi="Times New Roman" w:eastAsia="仿宋" w:cs="Times New Roman"/>
          <w:sz w:val="28"/>
        </w:rPr>
        <w:t>立足行业技术进步与能源转型趋势，</w:t>
      </w:r>
      <w:r>
        <w:rPr>
          <w:rFonts w:hint="eastAsia" w:ascii="Times New Roman" w:hAnsi="Times New Roman" w:eastAsia="仿宋" w:cs="Times New Roman"/>
          <w:sz w:val="28"/>
          <w:szCs w:val="28"/>
        </w:rPr>
        <w:t>综合考虑配额总量控制及有偿分配方案实施的顶层设计方向，</w:t>
      </w:r>
      <w:r>
        <w:rPr>
          <w:rFonts w:ascii="Times New Roman" w:hAnsi="Times New Roman" w:eastAsia="仿宋" w:cs="Times New Roman"/>
          <w:sz w:val="28"/>
        </w:rPr>
        <w:t>从行业角度提出兼具科学性、公平性与可操作性的配额</w:t>
      </w:r>
      <w:r>
        <w:rPr>
          <w:rFonts w:hint="eastAsia" w:ascii="Times New Roman" w:hAnsi="Times New Roman" w:eastAsia="仿宋" w:cs="Times New Roman"/>
          <w:sz w:val="28"/>
        </w:rPr>
        <w:t>方案</w:t>
      </w:r>
      <w:r>
        <w:rPr>
          <w:rFonts w:ascii="Times New Roman" w:hAnsi="Times New Roman" w:eastAsia="仿宋" w:cs="Times New Roman"/>
          <w:sz w:val="28"/>
        </w:rPr>
        <w:t>优化建议及MRV体系改进措施</w:t>
      </w:r>
      <w:r>
        <w:rPr>
          <w:rFonts w:hint="eastAsia" w:ascii="Times New Roman" w:hAnsi="Times New Roman" w:eastAsia="仿宋" w:cs="Times New Roman"/>
          <w:sz w:val="28"/>
        </w:rPr>
        <w:t>。</w:t>
      </w:r>
      <w:r>
        <w:rPr>
          <w:rFonts w:hint="eastAsia" w:ascii="Times New Roman" w:hAnsi="Times New Roman" w:eastAsia="仿宋" w:cs="Times New Roman"/>
          <w:sz w:val="28"/>
          <w:szCs w:val="28"/>
        </w:rPr>
        <w:t>同时，通过在典型水泥企业应用创新监测技术，验证相关技术的可行性与有效性，形成操作与维护手册，为完善行业技术指南和提升MRV体系有效性提供实践依据，</w:t>
      </w:r>
      <w:r>
        <w:rPr>
          <w:rFonts w:ascii="Times New Roman" w:hAnsi="Times New Roman" w:eastAsia="仿宋" w:cs="Times New Roman"/>
          <w:sz w:val="28"/>
        </w:rPr>
        <w:t>推动水泥行业在碳市场机制约束下实现高质量发展。</w:t>
      </w:r>
    </w:p>
    <w:p w14:paraId="6FBDC5CD">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三、</w:t>
      </w:r>
      <w:r>
        <w:rPr>
          <w:rFonts w:ascii="Times New Roman" w:hAnsi="Times New Roman" w:eastAsia="仿宋" w:cs="Times New Roman"/>
          <w:b/>
          <w:bCs/>
          <w:sz w:val="28"/>
          <w:szCs w:val="28"/>
        </w:rPr>
        <w:t>工作内容及要求</w:t>
      </w:r>
    </w:p>
    <w:p w14:paraId="6FBDC5CE">
      <w:pPr>
        <w:pStyle w:val="4"/>
        <w:spacing w:before="156" w:beforeLines="50" w:after="156" w:afterLines="50" w:line="240" w:lineRule="auto"/>
        <w:ind w:firstLine="560"/>
        <w:rPr>
          <w:rFonts w:ascii="Times New Roman" w:hAnsi="Times New Roman" w:eastAsia="仿宋" w:cs="Times New Roman"/>
          <w:sz w:val="28"/>
        </w:rPr>
      </w:pPr>
      <w:r>
        <w:rPr>
          <w:rFonts w:ascii="Times New Roman" w:hAnsi="Times New Roman" w:eastAsia="仿宋" w:cs="Times New Roman"/>
          <w:sz w:val="28"/>
        </w:rPr>
        <w:t>3.1 总体工作范围</w:t>
      </w:r>
    </w:p>
    <w:p w14:paraId="6FBDC5CF">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本分包任务涵盖水泥行业配额管理机制评估、MRV</w:t>
      </w:r>
      <w:r>
        <w:rPr>
          <w:rFonts w:ascii="Times New Roman" w:hAnsi="Times New Roman" w:eastAsia="仿宋" w:cs="Times New Roman"/>
          <w:sz w:val="28"/>
          <w:szCs w:val="28"/>
        </w:rPr>
        <w:t>体系运行效能诊断、以及碳排放</w:t>
      </w:r>
      <w:r>
        <w:rPr>
          <w:rFonts w:hint="eastAsia" w:ascii="Times New Roman" w:hAnsi="Times New Roman" w:eastAsia="仿宋" w:cs="Times New Roman"/>
          <w:sz w:val="28"/>
          <w:szCs w:val="28"/>
        </w:rPr>
        <w:t>创新</w:t>
      </w:r>
      <w:r>
        <w:rPr>
          <w:rFonts w:ascii="Times New Roman" w:hAnsi="Times New Roman" w:eastAsia="仿宋" w:cs="Times New Roman"/>
          <w:sz w:val="28"/>
          <w:szCs w:val="28"/>
        </w:rPr>
        <w:t>监测技术</w:t>
      </w:r>
      <w:r>
        <w:rPr>
          <w:rFonts w:hint="eastAsia" w:ascii="Times New Roman" w:hAnsi="Times New Roman" w:eastAsia="仿宋" w:cs="Times New Roman"/>
          <w:sz w:val="28"/>
          <w:szCs w:val="28"/>
        </w:rPr>
        <w:t>应用</w:t>
      </w:r>
      <w:r>
        <w:rPr>
          <w:rFonts w:ascii="Times New Roman" w:hAnsi="Times New Roman" w:eastAsia="仿宋" w:cs="Times New Roman"/>
          <w:sz w:val="28"/>
          <w:szCs w:val="28"/>
        </w:rPr>
        <w:t>研究三大核心</w:t>
      </w:r>
      <w:r>
        <w:rPr>
          <w:rFonts w:hint="eastAsia" w:ascii="Times New Roman" w:hAnsi="Times New Roman" w:eastAsia="仿宋" w:cs="Times New Roman"/>
          <w:sz w:val="28"/>
          <w:szCs w:val="28"/>
        </w:rPr>
        <w:t>内容</w:t>
      </w:r>
      <w:r>
        <w:rPr>
          <w:rFonts w:ascii="Times New Roman" w:hAnsi="Times New Roman" w:eastAsia="仿宋" w:cs="Times New Roman"/>
          <w:sz w:val="28"/>
        </w:rPr>
        <w:t>，</w:t>
      </w:r>
      <w:r>
        <w:rPr>
          <w:rFonts w:hint="eastAsia" w:ascii="Times New Roman" w:hAnsi="Times New Roman" w:eastAsia="仿宋" w:cs="Times New Roman"/>
          <w:sz w:val="28"/>
        </w:rPr>
        <w:t>通过</w:t>
      </w:r>
      <w:r>
        <w:rPr>
          <w:rFonts w:ascii="Times New Roman" w:hAnsi="Times New Roman" w:eastAsia="仿宋" w:cs="Times New Roman"/>
          <w:sz w:val="28"/>
        </w:rPr>
        <w:t>分析梳理行业现状、发展动态及趋势，</w:t>
      </w:r>
      <w:r>
        <w:rPr>
          <w:rFonts w:ascii="Times New Roman" w:hAnsi="Times New Roman" w:eastAsia="仿宋" w:cs="Times New Roman"/>
          <w:sz w:val="28"/>
          <w:szCs w:val="28"/>
        </w:rPr>
        <w:t>深入了解</w:t>
      </w:r>
      <w:r>
        <w:rPr>
          <w:rFonts w:hint="eastAsia" w:ascii="Times New Roman" w:hAnsi="Times New Roman" w:eastAsia="仿宋" w:cs="Times New Roman"/>
          <w:sz w:val="28"/>
          <w:szCs w:val="28"/>
        </w:rPr>
        <w:t>水泥</w:t>
      </w:r>
      <w:r>
        <w:rPr>
          <w:rFonts w:ascii="Times New Roman" w:hAnsi="Times New Roman" w:eastAsia="仿宋" w:cs="Times New Roman"/>
          <w:sz w:val="28"/>
          <w:szCs w:val="28"/>
        </w:rPr>
        <w:t>企业在</w:t>
      </w:r>
      <w:r>
        <w:rPr>
          <w:rFonts w:hint="eastAsia" w:ascii="Times New Roman" w:hAnsi="Times New Roman" w:eastAsia="仿宋" w:cs="Times New Roman"/>
          <w:sz w:val="28"/>
          <w:szCs w:val="28"/>
        </w:rPr>
        <w:t>配额管理及MRV方面</w:t>
      </w:r>
      <w:r>
        <w:rPr>
          <w:rFonts w:ascii="Times New Roman" w:hAnsi="Times New Roman" w:eastAsia="仿宋" w:cs="Times New Roman"/>
          <w:sz w:val="28"/>
          <w:szCs w:val="28"/>
        </w:rPr>
        <w:t>的</w:t>
      </w:r>
      <w:r>
        <w:rPr>
          <w:rFonts w:hint="eastAsia" w:ascii="Times New Roman" w:hAnsi="Times New Roman" w:eastAsia="仿宋" w:cs="Times New Roman"/>
          <w:sz w:val="28"/>
          <w:szCs w:val="28"/>
        </w:rPr>
        <w:t>技术</w:t>
      </w:r>
      <w:r>
        <w:rPr>
          <w:rFonts w:ascii="Times New Roman" w:hAnsi="Times New Roman" w:eastAsia="仿宋" w:cs="Times New Roman"/>
          <w:sz w:val="28"/>
          <w:szCs w:val="28"/>
        </w:rPr>
        <w:t>困难及政策诉求</w:t>
      </w:r>
      <w:r>
        <w:rPr>
          <w:rFonts w:hint="eastAsia" w:ascii="Times New Roman" w:hAnsi="Times New Roman" w:eastAsia="仿宋" w:cs="Times New Roman"/>
          <w:sz w:val="28"/>
          <w:szCs w:val="28"/>
        </w:rPr>
        <w:t>，综合考虑主管部门在政策执行中的问题与建议，</w:t>
      </w:r>
      <w:r>
        <w:rPr>
          <w:rFonts w:ascii="Times New Roman" w:hAnsi="Times New Roman" w:eastAsia="仿宋" w:cs="Times New Roman"/>
          <w:sz w:val="28"/>
          <w:szCs w:val="28"/>
        </w:rPr>
        <w:t>结合国际</w:t>
      </w:r>
      <w:r>
        <w:rPr>
          <w:rFonts w:hint="eastAsia" w:ascii="Times New Roman" w:hAnsi="Times New Roman" w:eastAsia="仿宋" w:cs="Times New Roman"/>
          <w:sz w:val="28"/>
          <w:szCs w:val="28"/>
        </w:rPr>
        <w:t>碳市场的</w:t>
      </w:r>
      <w:r>
        <w:rPr>
          <w:rFonts w:ascii="Times New Roman" w:hAnsi="Times New Roman" w:eastAsia="仿宋" w:cs="Times New Roman"/>
          <w:sz w:val="28"/>
          <w:szCs w:val="28"/>
        </w:rPr>
        <w:t>经验</w:t>
      </w:r>
      <w:r>
        <w:rPr>
          <w:rFonts w:hint="eastAsia" w:ascii="Times New Roman" w:hAnsi="Times New Roman" w:eastAsia="仿宋" w:cs="Times New Roman"/>
          <w:sz w:val="28"/>
          <w:szCs w:val="28"/>
        </w:rPr>
        <w:t>梳理，形成行业需求分析报告；</w:t>
      </w:r>
      <w:r>
        <w:rPr>
          <w:rFonts w:ascii="Times New Roman" w:hAnsi="Times New Roman" w:eastAsia="仿宋" w:cs="Times New Roman"/>
          <w:sz w:val="28"/>
          <w:szCs w:val="28"/>
        </w:rPr>
        <w:t>评估当前</w:t>
      </w:r>
      <w:r>
        <w:rPr>
          <w:rFonts w:hint="eastAsia" w:ascii="Times New Roman" w:hAnsi="Times New Roman" w:eastAsia="仿宋" w:cs="Times New Roman"/>
          <w:sz w:val="28"/>
          <w:szCs w:val="28"/>
        </w:rPr>
        <w:t>水泥</w:t>
      </w:r>
      <w:r>
        <w:rPr>
          <w:rFonts w:ascii="Times New Roman" w:hAnsi="Times New Roman" w:eastAsia="仿宋" w:cs="Times New Roman"/>
          <w:sz w:val="28"/>
          <w:szCs w:val="28"/>
        </w:rPr>
        <w:t>行业</w:t>
      </w:r>
      <w:r>
        <w:rPr>
          <w:rFonts w:hint="eastAsia" w:ascii="Times New Roman" w:hAnsi="Times New Roman" w:eastAsia="仿宋" w:cs="Times New Roman"/>
          <w:sz w:val="28"/>
          <w:szCs w:val="28"/>
        </w:rPr>
        <w:t>配额分配机制的实施效果，基于</w:t>
      </w:r>
      <w:r>
        <w:rPr>
          <w:rFonts w:ascii="Times New Roman" w:hAnsi="Times New Roman" w:eastAsia="仿宋" w:cs="Times New Roman"/>
          <w:sz w:val="28"/>
          <w:szCs w:val="28"/>
        </w:rPr>
        <w:t>配额总量控制、有偿分配的顶层设计方向</w:t>
      </w:r>
      <w:r>
        <w:rPr>
          <w:rFonts w:hint="eastAsia" w:ascii="Times New Roman" w:hAnsi="Times New Roman" w:eastAsia="仿宋" w:cs="Times New Roman"/>
          <w:sz w:val="28"/>
          <w:szCs w:val="28"/>
        </w:rPr>
        <w:t>，</w:t>
      </w:r>
      <w:r>
        <w:rPr>
          <w:rFonts w:ascii="Times New Roman" w:hAnsi="Times New Roman" w:eastAsia="仿宋" w:cs="Times New Roman"/>
          <w:sz w:val="28"/>
          <w:szCs w:val="28"/>
        </w:rPr>
        <w:t>提出</w:t>
      </w:r>
      <w:r>
        <w:rPr>
          <w:rFonts w:hint="eastAsia" w:ascii="Times New Roman" w:hAnsi="Times New Roman" w:eastAsia="仿宋" w:cs="Times New Roman"/>
          <w:sz w:val="28"/>
          <w:szCs w:val="28"/>
        </w:rPr>
        <w:t>配额方案</w:t>
      </w:r>
      <w:r>
        <w:rPr>
          <w:rFonts w:ascii="Times New Roman" w:hAnsi="Times New Roman" w:eastAsia="仿宋" w:cs="Times New Roman"/>
          <w:sz w:val="28"/>
          <w:szCs w:val="28"/>
        </w:rPr>
        <w:t>优化建议；</w:t>
      </w:r>
      <w:r>
        <w:rPr>
          <w:rFonts w:hint="eastAsia" w:ascii="Times New Roman" w:hAnsi="Times New Roman" w:eastAsia="仿宋" w:cs="Times New Roman"/>
          <w:sz w:val="28"/>
          <w:szCs w:val="28"/>
        </w:rPr>
        <w:t>结合行业发展动态，评估水泥行业现行MRV体系实施效果</w:t>
      </w:r>
      <w:r>
        <w:rPr>
          <w:rFonts w:ascii="Times New Roman" w:hAnsi="Times New Roman" w:eastAsia="仿宋" w:cs="Times New Roman"/>
          <w:sz w:val="28"/>
          <w:szCs w:val="28"/>
        </w:rPr>
        <w:t>，提出</w:t>
      </w:r>
      <w:r>
        <w:rPr>
          <w:rFonts w:hint="eastAsia" w:ascii="Times New Roman" w:hAnsi="Times New Roman" w:eastAsia="仿宋" w:cs="Times New Roman"/>
          <w:sz w:val="28"/>
          <w:szCs w:val="28"/>
        </w:rPr>
        <w:t>遵循顶层设计方向下的MRV体系</w:t>
      </w:r>
      <w:r>
        <w:rPr>
          <w:rFonts w:ascii="Times New Roman" w:hAnsi="Times New Roman" w:eastAsia="仿宋" w:cs="Times New Roman"/>
          <w:sz w:val="28"/>
          <w:szCs w:val="28"/>
        </w:rPr>
        <w:t>改进建议</w:t>
      </w:r>
      <w:r>
        <w:rPr>
          <w:rFonts w:hint="eastAsia" w:ascii="Times New Roman" w:hAnsi="Times New Roman" w:eastAsia="仿宋" w:cs="Times New Roman"/>
          <w:sz w:val="28"/>
          <w:szCs w:val="28"/>
        </w:rPr>
        <w:t>；选择1家典型水泥企业并应用创新监测技术，开展创新监测技术应用效果评估，验证其对水泥行业数据监测的可行性与有效性，并将成果纳入相关技术指南修订。</w:t>
      </w:r>
    </w:p>
    <w:p w14:paraId="6FBDC5D0">
      <w:pPr>
        <w:spacing w:before="156" w:beforeLines="50" w:after="156" w:afterLines="50"/>
        <w:ind w:firstLine="560" w:firstLineChars="200"/>
        <w:rPr>
          <w:rFonts w:ascii="Times New Roman" w:hAnsi="Times New Roman" w:eastAsia="仿宋" w:cs="Times New Roman"/>
          <w:sz w:val="28"/>
        </w:rPr>
      </w:pPr>
      <w:r>
        <w:rPr>
          <w:rFonts w:hint="eastAsia" w:ascii="Times New Roman" w:hAnsi="Times New Roman" w:eastAsia="仿宋" w:cs="Times New Roman"/>
          <w:sz w:val="28"/>
        </w:rPr>
        <w:t>本任务需</w:t>
      </w:r>
      <w:r>
        <w:rPr>
          <w:rFonts w:ascii="Times New Roman" w:hAnsi="Times New Roman" w:eastAsia="仿宋" w:cs="Times New Roman"/>
          <w:sz w:val="28"/>
        </w:rPr>
        <w:t>在PMO</w:t>
      </w:r>
      <w:r>
        <w:rPr>
          <w:rFonts w:hint="eastAsia" w:ascii="Times New Roman" w:hAnsi="Times New Roman" w:eastAsia="仿宋" w:cs="Times New Roman"/>
          <w:sz w:val="28"/>
        </w:rPr>
        <w:t>统一</w:t>
      </w:r>
      <w:r>
        <w:rPr>
          <w:rFonts w:ascii="Times New Roman" w:hAnsi="Times New Roman" w:eastAsia="仿宋" w:cs="Times New Roman"/>
          <w:sz w:val="28"/>
        </w:rPr>
        <w:t>协调下，与PMI-3</w:t>
      </w:r>
      <w:r>
        <w:rPr>
          <w:rStyle w:val="17"/>
          <w:rFonts w:ascii="Times New Roman" w:hAnsi="Times New Roman" w:eastAsia="仿宋" w:cs="Times New Roman"/>
          <w:sz w:val="28"/>
        </w:rPr>
        <w:footnoteReference w:id="0"/>
      </w:r>
      <w:r>
        <w:rPr>
          <w:rFonts w:ascii="Times New Roman" w:hAnsi="Times New Roman" w:eastAsia="仿宋" w:cs="Times New Roman"/>
          <w:sz w:val="28"/>
        </w:rPr>
        <w:t>，PMI-4</w:t>
      </w:r>
      <w:r>
        <w:rPr>
          <w:rStyle w:val="17"/>
          <w:rFonts w:ascii="Times New Roman" w:hAnsi="Times New Roman" w:eastAsia="仿宋" w:cs="Times New Roman"/>
          <w:sz w:val="28"/>
        </w:rPr>
        <w:footnoteReference w:id="1"/>
      </w:r>
      <w:r>
        <w:rPr>
          <w:rFonts w:hint="eastAsia" w:ascii="Times New Roman" w:hAnsi="Times New Roman" w:eastAsia="仿宋" w:cs="Times New Roman"/>
          <w:sz w:val="28"/>
        </w:rPr>
        <w:t>及</w:t>
      </w:r>
      <w:r>
        <w:rPr>
          <w:rFonts w:ascii="Times New Roman" w:hAnsi="Times New Roman" w:eastAsia="仿宋" w:cs="Times New Roman"/>
          <w:sz w:val="28"/>
        </w:rPr>
        <w:t>PMI-17</w:t>
      </w:r>
      <w:r>
        <w:rPr>
          <w:rStyle w:val="17"/>
          <w:rFonts w:ascii="Times New Roman" w:hAnsi="Times New Roman" w:eastAsia="仿宋" w:cs="Times New Roman"/>
          <w:sz w:val="28"/>
        </w:rPr>
        <w:footnoteReference w:id="2"/>
      </w:r>
      <w:r>
        <w:rPr>
          <w:rFonts w:ascii="Times New Roman" w:hAnsi="Times New Roman" w:eastAsia="仿宋" w:cs="Times New Roman"/>
          <w:sz w:val="28"/>
        </w:rPr>
        <w:t>等其他分包任务承担单位保持技术协作与信息共享，确保研究</w:t>
      </w:r>
      <w:r>
        <w:rPr>
          <w:rFonts w:hint="eastAsia" w:ascii="Times New Roman" w:hAnsi="Times New Roman" w:eastAsia="仿宋" w:cs="Times New Roman"/>
          <w:sz w:val="28"/>
        </w:rPr>
        <w:t>成果</w:t>
      </w:r>
      <w:r>
        <w:rPr>
          <w:rFonts w:ascii="Times New Roman" w:hAnsi="Times New Roman" w:eastAsia="仿宋" w:cs="Times New Roman"/>
          <w:sz w:val="28"/>
        </w:rPr>
        <w:t>的系统性与一致性。</w:t>
      </w:r>
    </w:p>
    <w:p w14:paraId="6FBDC5D1">
      <w:pPr>
        <w:pStyle w:val="4"/>
        <w:spacing w:before="156" w:beforeLines="50" w:after="156" w:afterLines="50" w:line="240" w:lineRule="auto"/>
        <w:ind w:firstLine="560"/>
        <w:rPr>
          <w:rFonts w:ascii="Times New Roman" w:hAnsi="Times New Roman" w:eastAsia="仿宋" w:cs="Times New Roman"/>
          <w:sz w:val="28"/>
        </w:rPr>
      </w:pPr>
      <w:r>
        <w:rPr>
          <w:rFonts w:ascii="Times New Roman" w:hAnsi="Times New Roman" w:eastAsia="仿宋" w:cs="Times New Roman"/>
          <w:sz w:val="28"/>
        </w:rPr>
        <w:t>3.2 任务要求描述</w:t>
      </w:r>
    </w:p>
    <w:p w14:paraId="6FBDC5D2">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3.2.1 水泥行业动态与诉求调研</w:t>
      </w:r>
    </w:p>
    <w:p w14:paraId="3CC577D8">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项任务旨在通过文献研究、调研访谈等方式，系统了解水泥行业在配额管理及MRV实施方面的实际运行情况和企业需求，借鉴国际先进经验，形成《水泥行业配额管理及MRV需求分析报告》，为后续配额优化和MRV改进提供实证基础和国际参照。内容包括但不限于：</w:t>
      </w:r>
    </w:p>
    <w:p w14:paraId="5ECE42C1">
      <w:pPr>
        <w:widowControl/>
        <w:spacing w:before="156" w:beforeLines="50" w:after="156" w:afterLines="50"/>
        <w:ind w:firstLine="560" w:firstLineChars="200"/>
        <w:jc w:val="left"/>
        <w:rPr>
          <w:rFonts w:ascii="Times New Roman" w:hAnsi="Times New Roman" w:eastAsia="仿宋" w:cs="Times New Roman"/>
          <w:sz w:val="28"/>
        </w:rPr>
      </w:pPr>
      <w:r>
        <w:rPr>
          <w:rFonts w:ascii="Times New Roman" w:hAnsi="Times New Roman" w:eastAsia="仿宋" w:cs="Times New Roman"/>
          <w:sz w:val="28"/>
        </w:rPr>
        <w:t>a. 国际经验对比分析：研究国际主要碳市场（如欧盟ETS、美国加州ETS、英国ETS、韩国ETS等）水泥行业在配额管理（总量控制、有偿分配、基准值设定、拍卖收入使用等）及MRV体系（核算方法、数据质量控制、连续监测系统应用、核查机制等）方面的制度设计与实践经验，评估我国现行体系与国际最佳实践的</w:t>
      </w:r>
      <w:r>
        <w:rPr>
          <w:rFonts w:hint="eastAsia" w:ascii="Times New Roman" w:hAnsi="Times New Roman" w:eastAsia="仿宋" w:cs="Times New Roman"/>
          <w:sz w:val="28"/>
        </w:rPr>
        <w:t>差异</w:t>
      </w:r>
      <w:r>
        <w:rPr>
          <w:rFonts w:ascii="Times New Roman" w:hAnsi="Times New Roman" w:eastAsia="仿宋" w:cs="Times New Roman"/>
          <w:sz w:val="28"/>
        </w:rPr>
        <w:t>与可借鉴之处。</w:t>
      </w:r>
    </w:p>
    <w:p w14:paraId="6FBDC5D3">
      <w:pPr>
        <w:widowControl/>
        <w:spacing w:before="156" w:beforeLines="50" w:after="156" w:afterLines="50"/>
        <w:ind w:firstLine="560" w:firstLineChars="200"/>
        <w:jc w:val="left"/>
        <w:rPr>
          <w:rFonts w:ascii="Times New Roman" w:hAnsi="Times New Roman" w:eastAsia="仿宋" w:cs="Times New Roman"/>
          <w:sz w:val="28"/>
        </w:rPr>
      </w:pPr>
      <w:r>
        <w:rPr>
          <w:rFonts w:hint="eastAsia" w:ascii="Times New Roman" w:hAnsi="Times New Roman" w:eastAsia="仿宋" w:cs="Times New Roman"/>
          <w:sz w:val="28"/>
        </w:rPr>
        <w:t>b</w:t>
      </w:r>
      <w:r>
        <w:rPr>
          <w:rFonts w:ascii="Times New Roman" w:hAnsi="Times New Roman" w:eastAsia="仿宋" w:cs="Times New Roman"/>
          <w:sz w:val="28"/>
        </w:rPr>
        <w:t>. 行业发展动态梳理：系统梳理水泥行业参与碳排放权交易市场的现状与进程，分析碳排放权交易市场实施对行业运行的影响，重点关注燃料结构、协同处置技术应用、碳排放强度、配额盈亏等关键参数的变化趋势，为配额分配方案参数的科学设定及MRV体系改进提供行业支撑。</w:t>
      </w:r>
    </w:p>
    <w:p w14:paraId="6FBDC5D4">
      <w:pPr>
        <w:widowControl/>
        <w:spacing w:before="156" w:beforeLines="50" w:after="156" w:afterLines="50"/>
        <w:ind w:firstLine="560" w:firstLineChars="200"/>
        <w:jc w:val="left"/>
        <w:rPr>
          <w:rFonts w:ascii="Times New Roman" w:hAnsi="Times New Roman" w:eastAsia="仿宋" w:cs="Times New Roman"/>
          <w:sz w:val="28"/>
        </w:rPr>
      </w:pPr>
      <w:r>
        <w:rPr>
          <w:rFonts w:hint="eastAsia" w:ascii="Times New Roman" w:hAnsi="Times New Roman" w:eastAsia="仿宋" w:cs="Times New Roman"/>
          <w:sz w:val="28"/>
        </w:rPr>
        <w:t>c</w:t>
      </w:r>
      <w:r>
        <w:rPr>
          <w:rFonts w:ascii="Times New Roman" w:hAnsi="Times New Roman" w:eastAsia="仿宋" w:cs="Times New Roman"/>
          <w:sz w:val="28"/>
        </w:rPr>
        <w:t>. 企业</w:t>
      </w:r>
      <w:r>
        <w:rPr>
          <w:rFonts w:hint="eastAsia" w:ascii="Times New Roman" w:hAnsi="Times New Roman" w:eastAsia="仿宋" w:cs="Times New Roman"/>
          <w:sz w:val="28"/>
          <w:lang w:eastAsia="zh-CN"/>
        </w:rPr>
        <w:t>和主管部门</w:t>
      </w:r>
      <w:r>
        <w:rPr>
          <w:rFonts w:ascii="Times New Roman" w:hAnsi="Times New Roman" w:eastAsia="仿宋" w:cs="Times New Roman"/>
          <w:sz w:val="28"/>
        </w:rPr>
        <w:t>诉求访谈：面向不同类型、规模、工艺的水泥生产企业（以新型干法窑为主，至少覆盖不同生产规模，并兼顾具备协同处置能力或使用电石渣等替代原料的特殊工艺的企业），通过问卷调研与典型</w:t>
      </w:r>
      <w:r>
        <w:rPr>
          <w:rFonts w:hint="eastAsia" w:ascii="Times New Roman" w:hAnsi="Times New Roman" w:eastAsia="仿宋" w:cs="Times New Roman"/>
          <w:sz w:val="28"/>
          <w:lang w:eastAsia="zh-CN"/>
        </w:rPr>
        <w:t>企业现场调研</w:t>
      </w:r>
      <w:r>
        <w:rPr>
          <w:rFonts w:ascii="Times New Roman" w:hAnsi="Times New Roman" w:eastAsia="仿宋" w:cs="Times New Roman"/>
          <w:sz w:val="28"/>
        </w:rPr>
        <w:t>相结合的方式，系统了解企业在配额分配（如行业平衡值</w:t>
      </w:r>
      <w:r>
        <w:rPr>
          <w:rStyle w:val="17"/>
          <w:rFonts w:ascii="Times New Roman" w:hAnsi="Times New Roman" w:eastAsia="仿宋" w:cs="Times New Roman"/>
          <w:sz w:val="28"/>
        </w:rPr>
        <w:footnoteReference w:id="3"/>
      </w:r>
      <w:r>
        <w:rPr>
          <w:rFonts w:ascii="Times New Roman" w:hAnsi="Times New Roman" w:eastAsia="仿宋" w:cs="Times New Roman"/>
          <w:sz w:val="28"/>
        </w:rPr>
        <w:t>的合理性、履约负担、政策协同需求及对总量控制、有偿分配转型的认知与应对措施）以及MRV实施（如数据</w:t>
      </w:r>
      <w:r>
        <w:rPr>
          <w:rFonts w:hint="eastAsia" w:ascii="Times New Roman" w:hAnsi="Times New Roman" w:eastAsia="仿宋" w:cs="Times New Roman"/>
          <w:sz w:val="28"/>
        </w:rPr>
        <w:t>监测</w:t>
      </w:r>
      <w:r>
        <w:rPr>
          <w:rFonts w:ascii="Times New Roman" w:hAnsi="Times New Roman" w:eastAsia="仿宋" w:cs="Times New Roman"/>
          <w:sz w:val="28"/>
        </w:rPr>
        <w:t>规范性、数据存证质量、燃料实测准确性、核查服务质量、新技术应用需求等）方面的实际困难与政策诉求</w:t>
      </w:r>
      <w:r>
        <w:rPr>
          <w:rFonts w:hint="eastAsia" w:ascii="Times New Roman" w:hAnsi="Times New Roman" w:eastAsia="仿宋" w:cs="Times New Roman"/>
          <w:sz w:val="28"/>
        </w:rPr>
        <w:t>（</w:t>
      </w:r>
      <w:r>
        <w:rPr>
          <w:rFonts w:ascii="Times New Roman" w:hAnsi="Times New Roman" w:eastAsia="仿宋" w:cs="Times New Roman"/>
          <w:sz w:val="28"/>
        </w:rPr>
        <w:t>承担单位应在项目建议书中明确提出拟调研的企业数量、选点依据及覆盖说明</w:t>
      </w:r>
      <w:r>
        <w:rPr>
          <w:rFonts w:hint="eastAsia" w:ascii="Times New Roman" w:hAnsi="Times New Roman" w:eastAsia="仿宋" w:cs="Times New Roman"/>
          <w:sz w:val="28"/>
        </w:rPr>
        <w:t>）。</w:t>
      </w:r>
      <w:r>
        <w:rPr>
          <w:rFonts w:ascii="Times New Roman" w:hAnsi="Times New Roman" w:eastAsia="仿宋" w:cs="Times New Roman"/>
          <w:sz w:val="28"/>
        </w:rPr>
        <w:t>同时，面向国家及地方生态环境主管部门，通过专题座谈与调研访谈相结合的方式，系统了解主管部门在配额分配方案制定、数据质量管理、核查机构监管等方面的实际运行经验与改进建议，收集其对配额总量控制、有偿分配、MRV体系优化等未来政策方向的意见与考量，形成水泥行业配额管理及MRV需求分析报告</w:t>
      </w:r>
      <w:r>
        <w:rPr>
          <w:rFonts w:ascii="Times New Roman" w:hAnsi="Times New Roman" w:eastAsia="仿宋" w:cs="Times New Roman"/>
          <w:sz w:val="28"/>
          <w:szCs w:val="28"/>
          <w:lang w:bidi="ar"/>
        </w:rPr>
        <w:t>。</w:t>
      </w:r>
    </w:p>
    <w:p w14:paraId="6FBDC5D5">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3.2.2 水泥行业配额管理机制评估与优化研究</w:t>
      </w:r>
    </w:p>
    <w:p w14:paraId="2178515F">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项任务旨在评估现行水泥行业配额分配机制的实施效果，结合国际经验和全国碳市场顶层设计方向，在PMO统一协调下，充分考虑PMI-3分包承担单位的指导意见，提出配额方案优化建议，形成《水泥行业配额管理制度优化建议报告》。内容包括但不限于：</w:t>
      </w:r>
    </w:p>
    <w:p w14:paraId="379633BD">
      <w:pPr>
        <w:widowControl/>
        <w:ind w:firstLine="560" w:firstLineChars="200"/>
        <w:jc w:val="left"/>
        <w:rPr>
          <w:rFonts w:ascii="Times New Roman" w:hAnsi="Times New Roman" w:eastAsia="仿宋" w:cs="Times New Roman"/>
          <w:sz w:val="28"/>
        </w:rPr>
      </w:pPr>
      <w:r>
        <w:rPr>
          <w:rFonts w:hint="eastAsia" w:ascii="Times New Roman" w:hAnsi="Times New Roman" w:eastAsia="仿宋" w:cs="Times New Roman"/>
          <w:sz w:val="28"/>
          <w:lang w:val="en-US" w:eastAsia="zh-CN"/>
        </w:rPr>
        <w:t>a</w:t>
      </w:r>
      <w:r>
        <w:rPr>
          <w:rFonts w:ascii="Times New Roman" w:hAnsi="Times New Roman" w:eastAsia="仿宋" w:cs="Times New Roman"/>
          <w:sz w:val="28"/>
        </w:rPr>
        <w:t>. 总量控制与有偿分配方案研究：分析水泥行业引入绝对排放总量控制的实施可行性及对企业财务的影响，结合碳达峰碳中和目标及行业碳减排要求，研究提出关键时间节点的建议总量控制水平路径。研究免费配额与</w:t>
      </w:r>
      <w:r>
        <w:rPr>
          <w:rFonts w:hint="eastAsia" w:ascii="Times New Roman" w:hAnsi="Times New Roman" w:eastAsia="仿宋" w:cs="Times New Roman"/>
          <w:sz w:val="28"/>
        </w:rPr>
        <w:t>有偿</w:t>
      </w:r>
      <w:r>
        <w:rPr>
          <w:rFonts w:ascii="Times New Roman" w:hAnsi="Times New Roman" w:eastAsia="仿宋" w:cs="Times New Roman"/>
          <w:sz w:val="28"/>
        </w:rPr>
        <w:t>配额的分配结构，评估设计差异化行业平衡值或基准参考值的可行性及对行业的影响，即根据不同的熟料产品类型、生产工艺或生产规模，设定差异化的行业平衡值或基准参考值。</w:t>
      </w:r>
    </w:p>
    <w:p w14:paraId="669F47E6">
      <w:pPr>
        <w:widowControl/>
        <w:ind w:firstLine="560" w:firstLineChars="200"/>
        <w:jc w:val="left"/>
        <w:rPr>
          <w:rFonts w:ascii="Times New Roman" w:hAnsi="Times New Roman" w:eastAsia="仿宋" w:cs="Times New Roman"/>
          <w:sz w:val="28"/>
        </w:rPr>
      </w:pPr>
      <w:r>
        <w:rPr>
          <w:rFonts w:hint="eastAsia" w:ascii="Times New Roman" w:hAnsi="Times New Roman" w:eastAsia="仿宋" w:cs="Times New Roman"/>
          <w:sz w:val="28"/>
          <w:lang w:val="en-US" w:eastAsia="zh-CN"/>
        </w:rPr>
        <w:t>b</w:t>
      </w:r>
      <w:r>
        <w:rPr>
          <w:rFonts w:ascii="Times New Roman" w:hAnsi="Times New Roman" w:eastAsia="仿宋" w:cs="Times New Roman"/>
          <w:sz w:val="28"/>
        </w:rPr>
        <w:t>. 企业应对策略分析：分析配额总量控制和有偿分配方案施行后，不同类型水泥企业的潜在应对策略，包括但不限于：低碳技术路线选择、燃料结构优化、原料替代、碳资产管理策略、管理能力建设等。</w:t>
      </w:r>
    </w:p>
    <w:p w14:paraId="6FBDC5D8">
      <w:pPr>
        <w:widowControl/>
        <w:ind w:firstLine="560" w:firstLineChars="200"/>
        <w:jc w:val="left"/>
        <w:rPr>
          <w:rFonts w:ascii="Times New Roman" w:hAnsi="Times New Roman" w:eastAsia="仿宋" w:cs="Times New Roman"/>
          <w:sz w:val="28"/>
        </w:rPr>
      </w:pPr>
      <w:r>
        <w:rPr>
          <w:rFonts w:hint="eastAsia" w:ascii="Times New Roman" w:hAnsi="Times New Roman" w:eastAsia="仿宋" w:cs="Times New Roman"/>
          <w:sz w:val="28"/>
          <w:lang w:val="en-US" w:eastAsia="zh-CN"/>
        </w:rPr>
        <w:t>c</w:t>
      </w:r>
      <w:r>
        <w:rPr>
          <w:rFonts w:ascii="Times New Roman" w:hAnsi="Times New Roman" w:eastAsia="仿宋" w:cs="Times New Roman"/>
          <w:sz w:val="28"/>
        </w:rPr>
        <w:t>. 配额方案修改建议：综合上述研究，提出水泥行业配额分配方案整体的修改建议。同时，配合PMO参与配额管理相关交流会，就行业政策动向、行业发展现状及最新动态开展深入交流。</w:t>
      </w:r>
    </w:p>
    <w:p w14:paraId="6FBDC5D9">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3.2.3 水泥行业MRV体系优化研究</w:t>
      </w:r>
    </w:p>
    <w:p w14:paraId="59A4CA6A">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本项任务旨在系统梳理并诊断水泥行业MRV体系运行中的主要难点，在</w:t>
      </w:r>
      <w:r>
        <w:rPr>
          <w:rFonts w:ascii="Times New Roman" w:hAnsi="Times New Roman" w:eastAsia="仿宋" w:cs="Times New Roman"/>
          <w:sz w:val="28"/>
          <w:szCs w:val="28"/>
        </w:rPr>
        <w:t>PMO的统一协调下，综合考虑PMI-4及PMI-17分包承担单位的指导意见</w:t>
      </w:r>
      <w:r>
        <w:rPr>
          <w:rFonts w:hint="eastAsia" w:ascii="Times New Roman" w:hAnsi="Times New Roman" w:eastAsia="仿宋" w:cs="Times New Roman"/>
          <w:sz w:val="28"/>
          <w:szCs w:val="28"/>
        </w:rPr>
        <w:t>，借鉴国际先进实践，提出优化改进建议，形成《水泥行业MRV体系改进建议报告》。内容包括但不限于：</w:t>
      </w:r>
    </w:p>
    <w:p w14:paraId="794842B8">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a. 碳排放核算难点诊断：系统梳理水泥行业现行技术指南在实际执行中的主要难点，包括但不限于：核算边界的清晰度、缺省排放因子的可靠性及使用影响、生产数据计量的可追溯性、过程排放核算中非碳酸盐替代原料种类认定与相应排放因子的确定、替代燃料使用场景下的核算方法、熟料库存盘库方法的可操作性等。研究应兼顾企业执行层面和第三方核查机构在实际操作中遇到的共性问题。</w:t>
      </w:r>
    </w:p>
    <w:p w14:paraId="7BC65E90">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b. 数据质量控制现状评估：对水泥企业碳排放数据质量控制的实施情况进行客观分析，包括计量器具配备与管理、数据报送流程的规范性、数据质量控制方案执行效果、全国碳市场管理平台异常预警与纠错机制等，评估现行数据质量管理体系与全国碳市场要求的差距。</w:t>
      </w:r>
    </w:p>
    <w:p w14:paraId="7BB36A04">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c. 面向制度转型的MRV支持能力分析：分析水泥行业现行MRV体系对配额总量控制及有偿分配实施的支撑能力，提出适应制度转型的MRV改进方向与实施路径。</w:t>
      </w:r>
      <w:r>
        <w:rPr>
          <w:rFonts w:hint="eastAsia" w:eastAsia="仿宋"/>
          <w:sz w:val="28"/>
          <w:szCs w:val="28"/>
        </w:rPr>
        <w:t>内容包括但不限于：核算指南修订建议、核查工作改进意见、数据质量保障机制强化路径等。</w:t>
      </w:r>
    </w:p>
    <w:p w14:paraId="6FBDC5DC">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d. 水泥行业MRV体系优化建议：系统提出水泥行业MRV体系优化改进建议，确保MRV体系能够适应制度转型及新型技术迭代的挑战。同时，配合PMO参与MRV体系优化相关交流会，就行业政策动向、行业发展现状及最新动态开展深入交流。</w:t>
      </w:r>
    </w:p>
    <w:p w14:paraId="3D7F66B3">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3.2.4 水泥行业碳排放</w:t>
      </w:r>
      <w:r>
        <w:rPr>
          <w:rFonts w:hint="eastAsia" w:ascii="Times New Roman" w:hAnsi="Times New Roman" w:eastAsia="仿宋" w:cs="Times New Roman"/>
          <w:sz w:val="28"/>
          <w:szCs w:val="28"/>
        </w:rPr>
        <w:t>创新</w:t>
      </w:r>
      <w:r>
        <w:rPr>
          <w:rFonts w:ascii="Times New Roman" w:hAnsi="Times New Roman" w:eastAsia="仿宋" w:cs="Times New Roman"/>
          <w:sz w:val="28"/>
          <w:szCs w:val="28"/>
        </w:rPr>
        <w:t>监测技术</w:t>
      </w:r>
      <w:r>
        <w:rPr>
          <w:rFonts w:hint="eastAsia" w:ascii="Times New Roman" w:hAnsi="Times New Roman" w:eastAsia="仿宋" w:cs="Times New Roman"/>
          <w:sz w:val="28"/>
          <w:szCs w:val="28"/>
        </w:rPr>
        <w:t>应用</w:t>
      </w:r>
      <w:r>
        <w:rPr>
          <w:rFonts w:ascii="Times New Roman" w:hAnsi="Times New Roman" w:eastAsia="仿宋" w:cs="Times New Roman"/>
          <w:sz w:val="28"/>
          <w:szCs w:val="28"/>
        </w:rPr>
        <w:t>研究</w:t>
      </w:r>
    </w:p>
    <w:p w14:paraId="68E0E53C">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本项任务旨在通过应用实施，验证创新监测技术在水泥行业的可行性与有效性，形成《水泥行业碳排放创新监测技术应用研究报告》（含运行与维护手册），为完善MRV技术指南提供实践依据，并直接贡献于</w:t>
      </w:r>
      <w:r>
        <w:rPr>
          <w:rFonts w:ascii="Times New Roman" w:hAnsi="Times New Roman" w:eastAsia="仿宋"/>
          <w:sz w:val="28"/>
          <w:szCs w:val="28"/>
        </w:rPr>
        <w:t>项目文件</w:t>
      </w:r>
      <w:r>
        <w:rPr>
          <w:rStyle w:val="17"/>
          <w:rFonts w:hint="eastAsia" w:ascii="Times New Roman" w:hAnsi="Times New Roman" w:eastAsia="仿宋"/>
          <w:color w:val="000000" w:themeColor="text1"/>
          <w:sz w:val="28"/>
          <w:szCs w:val="28"/>
          <w14:textFill>
            <w14:solidFill>
              <w14:schemeClr w14:val="tx1"/>
            </w14:solidFill>
          </w14:textFill>
        </w:rPr>
        <w:footnoteReference w:id="4"/>
      </w:r>
      <w:r>
        <w:rPr>
          <w:rFonts w:hint="eastAsia" w:ascii="Times New Roman" w:hAnsi="Times New Roman" w:eastAsia="仿宋"/>
          <w:sz w:val="28"/>
          <w:szCs w:val="28"/>
        </w:rPr>
        <w:t>中期</w:t>
      </w:r>
      <w:r>
        <w:rPr>
          <w:rFonts w:ascii="Times New Roman" w:hAnsi="Times New Roman" w:eastAsia="仿宋"/>
          <w:sz w:val="28"/>
          <w:szCs w:val="28"/>
        </w:rPr>
        <w:t>指标4</w:t>
      </w:r>
      <w:r>
        <w:rPr>
          <w:rFonts w:hint="eastAsia" w:ascii="Times New Roman" w:hAnsi="Times New Roman" w:eastAsia="仿宋"/>
          <w:sz w:val="28"/>
          <w:szCs w:val="28"/>
        </w:rPr>
        <w:t>“</w:t>
      </w:r>
      <w:r>
        <w:rPr>
          <w:rFonts w:ascii="Times New Roman" w:hAnsi="Times New Roman" w:eastAsia="仿宋"/>
          <w:sz w:val="28"/>
          <w:szCs w:val="28"/>
        </w:rPr>
        <w:t>为监测或数据质量控制和保证试行先进技术</w:t>
      </w:r>
      <w:r>
        <w:rPr>
          <w:rFonts w:hint="eastAsia" w:ascii="Times New Roman" w:hAnsi="Times New Roman" w:eastAsia="仿宋"/>
          <w:sz w:val="28"/>
          <w:szCs w:val="28"/>
        </w:rPr>
        <w:t>”</w:t>
      </w:r>
      <w:r>
        <w:rPr>
          <w:rFonts w:ascii="Times New Roman" w:hAnsi="Times New Roman" w:eastAsia="仿宋"/>
          <w:sz w:val="28"/>
          <w:szCs w:val="28"/>
        </w:rPr>
        <w:t>的实现</w:t>
      </w:r>
      <w:r>
        <w:rPr>
          <w:rFonts w:hint="eastAsia" w:ascii="Times New Roman" w:hAnsi="Times New Roman" w:eastAsia="仿宋" w:cs="Times New Roman"/>
          <w:sz w:val="28"/>
          <w:szCs w:val="28"/>
        </w:rPr>
        <w:t>。内容包括但不限于：</w:t>
      </w:r>
    </w:p>
    <w:p w14:paraId="624A88B5">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本任务将结合现有技术成熟度和预算约束，优先选择成本可控、</w:t>
      </w:r>
      <w:r>
        <w:rPr>
          <w:rFonts w:hint="eastAsia" w:ascii="Times New Roman" w:hAnsi="Times New Roman" w:eastAsia="仿宋" w:cs="Times New Roman"/>
          <w:sz w:val="28"/>
          <w:szCs w:val="28"/>
        </w:rPr>
        <w:t>应用</w:t>
      </w:r>
      <w:r>
        <w:rPr>
          <w:rFonts w:ascii="Times New Roman" w:hAnsi="Times New Roman" w:eastAsia="仿宋" w:cs="Times New Roman"/>
          <w:sz w:val="28"/>
          <w:szCs w:val="28"/>
        </w:rPr>
        <w:t>条件成熟的</w:t>
      </w:r>
      <w:r>
        <w:rPr>
          <w:rFonts w:hint="eastAsia" w:ascii="Times New Roman" w:hAnsi="Times New Roman" w:eastAsia="仿宋" w:cs="Times New Roman"/>
          <w:sz w:val="28"/>
          <w:szCs w:val="28"/>
        </w:rPr>
        <w:t>创新</w:t>
      </w:r>
      <w:r>
        <w:rPr>
          <w:rFonts w:ascii="Times New Roman" w:hAnsi="Times New Roman" w:eastAsia="仿宋" w:cs="Times New Roman"/>
          <w:sz w:val="28"/>
          <w:szCs w:val="28"/>
        </w:rPr>
        <w:t>监测技术进行</w:t>
      </w:r>
      <w:r>
        <w:rPr>
          <w:rFonts w:hint="eastAsia" w:ascii="Times New Roman" w:hAnsi="Times New Roman" w:eastAsia="仿宋" w:cs="Times New Roman"/>
          <w:sz w:val="28"/>
          <w:szCs w:val="28"/>
        </w:rPr>
        <w:t>应用研究</w:t>
      </w:r>
      <w:r>
        <w:rPr>
          <w:rFonts w:ascii="Times New Roman" w:hAnsi="Times New Roman" w:eastAsia="仿宋" w:cs="Times New Roman"/>
          <w:sz w:val="28"/>
          <w:szCs w:val="28"/>
        </w:rPr>
        <w:t>，重点关注在线连续监测系统（CEMS）与核算法的</w:t>
      </w:r>
      <w:r>
        <w:rPr>
          <w:rFonts w:hint="eastAsia" w:ascii="Times New Roman" w:hAnsi="Times New Roman" w:eastAsia="仿宋" w:cs="Times New Roman"/>
          <w:sz w:val="28"/>
          <w:szCs w:val="28"/>
        </w:rPr>
        <w:t>对比</w:t>
      </w:r>
      <w:r>
        <w:rPr>
          <w:rFonts w:ascii="Times New Roman" w:hAnsi="Times New Roman" w:eastAsia="仿宋" w:cs="Times New Roman"/>
          <w:sz w:val="28"/>
          <w:szCs w:val="28"/>
        </w:rPr>
        <w:t>、物料自动计量精度提升等方向。</w:t>
      </w:r>
    </w:p>
    <w:p w14:paraId="62D90F9A">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a. 监测技术筛选与工序场景分析：按照水泥行业关键生产工序和排放环节，优先聚焦核算不确定性较高的以下环节：熟料烧成过程、入窑生料消耗量的连续计量等，识别适用的创新监测技术，</w:t>
      </w:r>
      <w:r>
        <w:rPr>
          <w:rFonts w:hint="eastAsia" w:ascii="Times New Roman" w:hAnsi="Times New Roman" w:eastAsia="仿宋" w:cs="Times New Roman"/>
          <w:sz w:val="28"/>
          <w:szCs w:val="28"/>
        </w:rPr>
        <w:t>例如：</w:t>
      </w:r>
      <w:r>
        <w:rPr>
          <w:rFonts w:ascii="Times New Roman" w:hAnsi="Times New Roman" w:eastAsia="仿宋" w:cs="Times New Roman"/>
          <w:sz w:val="28"/>
          <w:szCs w:val="28"/>
        </w:rPr>
        <w:t>CEMS、智能传感器、物料自动计量与数据采集技术等。评估各技术的成熟度、准确性、精确度、经济性及在水泥企业的</w:t>
      </w:r>
      <w:r>
        <w:rPr>
          <w:rFonts w:hint="eastAsia" w:ascii="Times New Roman" w:hAnsi="Times New Roman" w:eastAsia="仿宋" w:cs="Times New Roman"/>
          <w:sz w:val="28"/>
          <w:szCs w:val="28"/>
        </w:rPr>
        <w:t>应用</w:t>
      </w:r>
      <w:r>
        <w:rPr>
          <w:rFonts w:ascii="Times New Roman" w:hAnsi="Times New Roman" w:eastAsia="仿宋" w:cs="Times New Roman"/>
          <w:sz w:val="28"/>
          <w:szCs w:val="28"/>
        </w:rPr>
        <w:t>条件，明确其校验方法、质量保证与质量控制措施。</w:t>
      </w:r>
    </w:p>
    <w:p w14:paraId="5A7AB6D3">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b. </w:t>
      </w:r>
      <w:r>
        <w:rPr>
          <w:rFonts w:hint="eastAsia" w:ascii="Times New Roman" w:hAnsi="Times New Roman" w:eastAsia="仿宋" w:cs="Times New Roman"/>
          <w:sz w:val="28"/>
          <w:szCs w:val="28"/>
        </w:rPr>
        <w:t>应用</w:t>
      </w:r>
      <w:r>
        <w:rPr>
          <w:rFonts w:ascii="Times New Roman" w:hAnsi="Times New Roman" w:eastAsia="仿宋" w:cs="Times New Roman"/>
          <w:sz w:val="28"/>
          <w:szCs w:val="28"/>
        </w:rPr>
        <w:t>实施与对照</w:t>
      </w:r>
      <w:r>
        <w:rPr>
          <w:rFonts w:hint="eastAsia" w:ascii="Times New Roman" w:hAnsi="Times New Roman" w:eastAsia="仿宋" w:cs="Times New Roman"/>
          <w:sz w:val="28"/>
          <w:szCs w:val="28"/>
          <w:lang w:eastAsia="zh-CN"/>
        </w:rPr>
        <w:t>运行</w:t>
      </w:r>
      <w:r>
        <w:rPr>
          <w:rFonts w:ascii="Times New Roman" w:hAnsi="Times New Roman" w:eastAsia="仿宋" w:cs="Times New Roman"/>
          <w:sz w:val="28"/>
          <w:szCs w:val="28"/>
        </w:rPr>
        <w:t>：在PMO协调下，选择1家具有代表性的水泥生产企业作为</w:t>
      </w:r>
      <w:r>
        <w:rPr>
          <w:rFonts w:hint="eastAsia" w:ascii="Times New Roman" w:hAnsi="Times New Roman" w:eastAsia="仿宋" w:cs="Times New Roman"/>
          <w:sz w:val="28"/>
          <w:szCs w:val="28"/>
        </w:rPr>
        <w:t>应用实施</w:t>
      </w:r>
      <w:r>
        <w:rPr>
          <w:rFonts w:ascii="Times New Roman" w:hAnsi="Times New Roman" w:eastAsia="仿宋" w:cs="Times New Roman"/>
          <w:sz w:val="28"/>
          <w:szCs w:val="28"/>
        </w:rPr>
        <w:t>单位。在该企业应用选定的创新监测技术，并与现有核算、报告体系进行对照运行，对照运行时间不少于2个月。</w:t>
      </w:r>
      <w:r>
        <w:rPr>
          <w:rFonts w:hint="eastAsia" w:ascii="Times New Roman" w:hAnsi="Times New Roman" w:eastAsia="仿宋" w:cs="Times New Roman"/>
          <w:sz w:val="28"/>
          <w:szCs w:val="28"/>
        </w:rPr>
        <w:t>创新监测技术应用</w:t>
      </w:r>
      <w:r>
        <w:rPr>
          <w:rFonts w:ascii="Times New Roman" w:hAnsi="Times New Roman" w:eastAsia="仿宋" w:cs="Times New Roman"/>
          <w:sz w:val="28"/>
          <w:szCs w:val="28"/>
        </w:rPr>
        <w:t>期间需按照生态环境部官网发布的现行技术指南进行</w:t>
      </w:r>
      <w:r>
        <w:rPr>
          <w:rFonts w:hint="eastAsia" w:ascii="Times New Roman" w:hAnsi="Times New Roman" w:eastAsia="仿宋" w:cs="Times New Roman"/>
          <w:sz w:val="28"/>
          <w:szCs w:val="28"/>
        </w:rPr>
        <w:t>MRV</w:t>
      </w:r>
      <w:r>
        <w:rPr>
          <w:rFonts w:ascii="Times New Roman" w:hAnsi="Times New Roman" w:eastAsia="仿宋" w:cs="Times New Roman"/>
          <w:sz w:val="28"/>
          <w:szCs w:val="28"/>
        </w:rPr>
        <w:t>管理。</w:t>
      </w:r>
    </w:p>
    <w:p w14:paraId="20D8F070">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c. 运行与维护手册编制与技术指导：基于</w:t>
      </w:r>
      <w:r>
        <w:rPr>
          <w:rFonts w:hint="eastAsia" w:ascii="Times New Roman" w:hAnsi="Times New Roman" w:eastAsia="仿宋" w:cs="Times New Roman"/>
          <w:sz w:val="28"/>
          <w:szCs w:val="28"/>
        </w:rPr>
        <w:t>应用</w:t>
      </w:r>
      <w:r>
        <w:rPr>
          <w:rFonts w:ascii="Times New Roman" w:hAnsi="Times New Roman" w:eastAsia="仿宋" w:cs="Times New Roman"/>
          <w:sz w:val="28"/>
          <w:szCs w:val="28"/>
        </w:rPr>
        <w:t>经验，编写</w:t>
      </w:r>
      <w:r>
        <w:rPr>
          <w:rFonts w:hint="eastAsia" w:ascii="Times New Roman" w:hAnsi="Times New Roman" w:eastAsia="仿宋" w:cs="Times New Roman"/>
          <w:sz w:val="28"/>
          <w:szCs w:val="28"/>
        </w:rPr>
        <w:t>创新</w:t>
      </w:r>
      <w:r>
        <w:rPr>
          <w:rFonts w:ascii="Times New Roman" w:hAnsi="Times New Roman" w:eastAsia="仿宋" w:cs="Times New Roman"/>
          <w:sz w:val="28"/>
          <w:szCs w:val="28"/>
        </w:rPr>
        <w:t>监测技术的运行与维护手册，明确设备安装、校准、</w:t>
      </w:r>
      <w:r>
        <w:rPr>
          <w:rFonts w:hint="eastAsia" w:ascii="Times New Roman" w:hAnsi="Times New Roman" w:eastAsia="仿宋" w:cs="Times New Roman"/>
          <w:sz w:val="28"/>
          <w:szCs w:val="28"/>
        </w:rPr>
        <w:t>监测</w:t>
      </w:r>
      <w:r>
        <w:rPr>
          <w:rFonts w:ascii="Times New Roman" w:hAnsi="Times New Roman" w:eastAsia="仿宋" w:cs="Times New Roman"/>
          <w:sz w:val="28"/>
          <w:szCs w:val="28"/>
        </w:rPr>
        <w:t>频率、质量控制、故障处理等操作规范。通过手册为</w:t>
      </w:r>
      <w:r>
        <w:rPr>
          <w:rFonts w:hint="eastAsia" w:ascii="Times New Roman" w:hAnsi="Times New Roman" w:eastAsia="仿宋" w:cs="Times New Roman"/>
          <w:sz w:val="28"/>
          <w:szCs w:val="28"/>
        </w:rPr>
        <w:t>创新监测技术应用</w:t>
      </w:r>
      <w:r>
        <w:rPr>
          <w:rFonts w:ascii="Times New Roman" w:hAnsi="Times New Roman" w:eastAsia="仿宋" w:cs="Times New Roman"/>
          <w:sz w:val="28"/>
          <w:szCs w:val="28"/>
        </w:rPr>
        <w:t>企业提供必要的技术指导和操作说明，确保企业能够按手册要求自主运行和维护监测设备。</w:t>
      </w:r>
    </w:p>
    <w:p w14:paraId="442888EF">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d. </w:t>
      </w:r>
      <w:r>
        <w:rPr>
          <w:rFonts w:hint="eastAsia" w:ascii="Times New Roman" w:hAnsi="Times New Roman" w:eastAsia="仿宋" w:cs="Times New Roman"/>
          <w:sz w:val="28"/>
          <w:szCs w:val="28"/>
        </w:rPr>
        <w:t>创新监测技术应用</w:t>
      </w:r>
      <w:r>
        <w:rPr>
          <w:rFonts w:ascii="Times New Roman" w:hAnsi="Times New Roman" w:eastAsia="仿宋" w:cs="Times New Roman"/>
          <w:sz w:val="28"/>
          <w:szCs w:val="28"/>
        </w:rPr>
        <w:t>评估与成果整合：综合</w:t>
      </w:r>
      <w:r>
        <w:rPr>
          <w:rFonts w:hint="eastAsia" w:ascii="Times New Roman" w:hAnsi="Times New Roman" w:eastAsia="仿宋" w:cs="Times New Roman"/>
          <w:sz w:val="28"/>
          <w:szCs w:val="28"/>
        </w:rPr>
        <w:t>应用</w:t>
      </w:r>
      <w:r>
        <w:rPr>
          <w:rFonts w:ascii="Times New Roman" w:hAnsi="Times New Roman" w:eastAsia="仿宋" w:cs="Times New Roman"/>
          <w:sz w:val="28"/>
          <w:szCs w:val="28"/>
        </w:rPr>
        <w:t>成果，评估监测技术的有效性、数据可靠性、实施成本及推广潜力，形成《水泥行业碳排放</w:t>
      </w:r>
      <w:r>
        <w:rPr>
          <w:rFonts w:hint="eastAsia" w:ascii="Times New Roman" w:hAnsi="Times New Roman" w:eastAsia="仿宋" w:cs="Times New Roman"/>
          <w:sz w:val="28"/>
          <w:szCs w:val="28"/>
        </w:rPr>
        <w:t>创新</w:t>
      </w:r>
      <w:r>
        <w:rPr>
          <w:rFonts w:ascii="Times New Roman" w:hAnsi="Times New Roman" w:eastAsia="仿宋" w:cs="Times New Roman"/>
          <w:sz w:val="28"/>
          <w:szCs w:val="28"/>
        </w:rPr>
        <w:t>监测技术</w:t>
      </w:r>
      <w:r>
        <w:rPr>
          <w:rFonts w:hint="eastAsia" w:ascii="Times New Roman" w:hAnsi="Times New Roman" w:eastAsia="仿宋" w:cs="Times New Roman"/>
          <w:sz w:val="28"/>
          <w:szCs w:val="28"/>
        </w:rPr>
        <w:t>应用</w:t>
      </w:r>
      <w:r>
        <w:rPr>
          <w:rFonts w:ascii="Times New Roman" w:hAnsi="Times New Roman" w:eastAsia="仿宋" w:cs="Times New Roman"/>
          <w:sz w:val="28"/>
          <w:szCs w:val="28"/>
        </w:rPr>
        <w:t>研究报告》（含运行与维护手册）</w:t>
      </w:r>
    </w:p>
    <w:p w14:paraId="6FBDC5DD">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四、</w:t>
      </w:r>
      <w:r>
        <w:rPr>
          <w:rFonts w:ascii="Times New Roman" w:hAnsi="Times New Roman" w:eastAsia="仿宋" w:cs="Times New Roman"/>
          <w:b/>
          <w:bCs/>
          <w:sz w:val="28"/>
          <w:szCs w:val="28"/>
        </w:rPr>
        <w:t>预计交付成果</w:t>
      </w:r>
    </w:p>
    <w:p w14:paraId="647B319A">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本项目预计成果包括：</w:t>
      </w:r>
    </w:p>
    <w:p w14:paraId="2F974DD4">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4.1</w:t>
      </w:r>
      <w:r>
        <w:rPr>
          <w:rFonts w:ascii="Times New Roman" w:hAnsi="Times New Roman" w:eastAsia="仿宋" w:cs="Times New Roman"/>
          <w:color w:val="000000" w:themeColor="text1"/>
          <w:sz w:val="28"/>
          <w:szCs w:val="28"/>
          <w14:textFill>
            <w14:solidFill>
              <w14:schemeClr w14:val="tx1"/>
            </w14:solidFill>
          </w14:textFill>
        </w:rPr>
        <w:t xml:space="preserve"> 《</w:t>
      </w:r>
      <w:r>
        <w:rPr>
          <w:rFonts w:hint="eastAsia" w:ascii="Times New Roman" w:hAnsi="Times New Roman" w:eastAsia="仿宋" w:cs="Times New Roman"/>
          <w:color w:val="000000" w:themeColor="text1"/>
          <w:sz w:val="28"/>
          <w:szCs w:val="28"/>
          <w14:textFill>
            <w14:solidFill>
              <w14:schemeClr w14:val="tx1"/>
            </w14:solidFill>
          </w14:textFill>
        </w:rPr>
        <w:t>水泥</w:t>
      </w:r>
      <w:r>
        <w:rPr>
          <w:rFonts w:ascii="Times New Roman" w:hAnsi="Times New Roman" w:eastAsia="仿宋" w:cs="Times New Roman"/>
          <w:color w:val="000000" w:themeColor="text1"/>
          <w:sz w:val="28"/>
          <w:szCs w:val="28"/>
          <w14:textFill>
            <w14:solidFill>
              <w14:schemeClr w14:val="tx1"/>
            </w14:solidFill>
          </w14:textFill>
        </w:rPr>
        <w:t>行业配额管理及MRV需求分析报告》</w:t>
      </w:r>
    </w:p>
    <w:p w14:paraId="04860CF5">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4.2 《水泥行业配额管理制度优化建议报告》</w:t>
      </w:r>
    </w:p>
    <w:p w14:paraId="58E6B9C1">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4.3 《水泥行业MRV体系改进建议报告》</w:t>
      </w:r>
    </w:p>
    <w:p w14:paraId="7B8BCFF6">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4.</w:t>
      </w:r>
      <w:r>
        <w:rPr>
          <w:rFonts w:hint="eastAsia" w:ascii="Times New Roman" w:hAnsi="Times New Roman" w:eastAsia="仿宋" w:cs="Times New Roman"/>
          <w:color w:val="000000" w:themeColor="text1"/>
          <w:sz w:val="28"/>
          <w:szCs w:val="28"/>
          <w14:textFill>
            <w14:solidFill>
              <w14:schemeClr w14:val="tx1"/>
            </w14:solidFill>
          </w14:textFill>
        </w:rPr>
        <w:t>4《水泥行业碳排放创新监测技术应用研究报告》（含运行与维护手册）</w:t>
      </w:r>
    </w:p>
    <w:p w14:paraId="368EE5B6">
      <w:pPr>
        <w:spacing w:before="156" w:beforeLines="50" w:after="156" w:afterLines="50"/>
        <w:ind w:firstLine="56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特别是，成果4.4</w:t>
      </w:r>
      <w:r>
        <w:rPr>
          <w:rFonts w:ascii="Times New Roman" w:hAnsi="Times New Roman" w:eastAsia="仿宋" w:cs="Times New Roman"/>
          <w:color w:val="000000" w:themeColor="text1"/>
          <w:sz w:val="28"/>
          <w:szCs w:val="28"/>
          <w14:textFill>
            <w14:solidFill>
              <w14:schemeClr w14:val="tx1"/>
            </w14:solidFill>
          </w14:textFill>
        </w:rPr>
        <w:t>将依据项目文件中期指标</w:t>
      </w:r>
      <w:r>
        <w:rPr>
          <w:rFonts w:hint="eastAsia" w:ascii="Times New Roman" w:hAnsi="Times New Roman" w:eastAsia="仿宋" w:cs="Times New Roman"/>
          <w:color w:val="000000" w:themeColor="text1"/>
          <w:sz w:val="28"/>
          <w:szCs w:val="28"/>
          <w14:textFill>
            <w14:solidFill>
              <w14:schemeClr w14:val="tx1"/>
            </w14:solidFill>
          </w14:textFill>
        </w:rPr>
        <w:t>4</w:t>
      </w:r>
      <w:r>
        <w:rPr>
          <w:rFonts w:ascii="Times New Roman" w:hAnsi="Times New Roman" w:eastAsia="仿宋" w:cs="Times New Roman"/>
          <w:color w:val="000000" w:themeColor="text1"/>
          <w:sz w:val="28"/>
          <w:szCs w:val="28"/>
          <w14:textFill>
            <w14:solidFill>
              <w14:schemeClr w14:val="tx1"/>
            </w14:solidFill>
          </w14:textFill>
        </w:rPr>
        <w:t>，形成先进监测技术或数据质量控制和保证</w:t>
      </w:r>
      <w:r>
        <w:rPr>
          <w:rFonts w:hint="eastAsia" w:ascii="Times New Roman" w:hAnsi="Times New Roman" w:eastAsia="仿宋" w:cs="Times New Roman"/>
          <w:color w:val="000000" w:themeColor="text1"/>
          <w:sz w:val="28"/>
          <w:szCs w:val="28"/>
          <w14:textFill>
            <w14:solidFill>
              <w14:schemeClr w14:val="tx1"/>
            </w14:solidFill>
          </w14:textFill>
        </w:rPr>
        <w:t>的</w:t>
      </w:r>
      <w:r>
        <w:rPr>
          <w:rFonts w:ascii="Times New Roman" w:hAnsi="Times New Roman" w:eastAsia="仿宋" w:cs="Times New Roman"/>
          <w:color w:val="000000" w:themeColor="text1"/>
          <w:sz w:val="28"/>
          <w:szCs w:val="28"/>
          <w14:textFill>
            <w14:solidFill>
              <w14:schemeClr w14:val="tx1"/>
            </w14:solidFill>
          </w14:textFill>
        </w:rPr>
        <w:t>技术</w:t>
      </w:r>
      <w:r>
        <w:rPr>
          <w:rFonts w:hint="eastAsia" w:ascii="Times New Roman" w:hAnsi="Times New Roman" w:eastAsia="仿宋" w:cs="Times New Roman"/>
          <w:color w:val="000000" w:themeColor="text1"/>
          <w:sz w:val="28"/>
          <w:szCs w:val="28"/>
          <w14:textFill>
            <w14:solidFill>
              <w14:schemeClr w14:val="tx1"/>
            </w14:solidFill>
          </w14:textFill>
        </w:rPr>
        <w:t>应用报告</w:t>
      </w:r>
      <w:r>
        <w:rPr>
          <w:rFonts w:ascii="Times New Roman" w:hAnsi="Times New Roman" w:eastAsia="仿宋" w:cs="Times New Roman"/>
          <w:color w:val="000000" w:themeColor="text1"/>
          <w:sz w:val="28"/>
          <w:szCs w:val="28"/>
          <w14:textFill>
            <w14:solidFill>
              <w14:schemeClr w14:val="tx1"/>
            </w14:solidFill>
          </w14:textFill>
        </w:rPr>
        <w:t>。</w:t>
      </w:r>
    </w:p>
    <w:p w14:paraId="2036B154">
      <w:pPr>
        <w:spacing w:before="156" w:beforeLines="50" w:after="156" w:afterLines="50"/>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本分包合同所有交付成果应与相关利益方进行磋商，并</w:t>
      </w:r>
      <w:r>
        <w:rPr>
          <w:rFonts w:hint="eastAsia" w:ascii="Times New Roman" w:hAnsi="Times New Roman" w:eastAsia="仿宋_GB2312" w:cs="Times New Roman"/>
          <w:sz w:val="28"/>
          <w:szCs w:val="28"/>
          <w:lang w:val="en-US" w:eastAsia="zh-CN"/>
        </w:rPr>
        <w:t>按照PMO提供的环境与社会相关工具包</w:t>
      </w:r>
      <w:r>
        <w:rPr>
          <w:rFonts w:hint="default" w:ascii="Times New Roman" w:hAnsi="Times New Roman" w:eastAsia="仿宋_GB2312" w:cs="Times New Roman"/>
          <w:sz w:val="28"/>
          <w:szCs w:val="28"/>
          <w:lang w:val="en-US" w:eastAsia="zh-CN"/>
        </w:rPr>
        <w:t>形成磋商纪要</w:t>
      </w:r>
      <w:r>
        <w:rPr>
          <w:rFonts w:hint="eastAsia" w:ascii="Times New Roman" w:hAnsi="Times New Roman" w:eastAsia="仿宋_GB2312" w:cs="Times New Roman"/>
          <w:sz w:val="28"/>
          <w:szCs w:val="28"/>
          <w:lang w:val="en-US" w:eastAsia="zh-CN"/>
        </w:rPr>
        <w:t>（至少包括人员、内容及照片）、意见反馈及采纳情况，并按要求提交进展报告</w:t>
      </w:r>
      <w:r>
        <w:rPr>
          <w:rFonts w:hint="default" w:ascii="Times New Roman" w:hAnsi="Times New Roman" w:eastAsia="仿宋_GB2312" w:cs="Times New Roman"/>
          <w:sz w:val="28"/>
          <w:szCs w:val="28"/>
          <w:lang w:val="en-US" w:eastAsia="zh-CN"/>
        </w:rPr>
        <w:t>。</w:t>
      </w:r>
    </w:p>
    <w:p w14:paraId="762B8F82">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sz w:val="28"/>
          <w:szCs w:val="28"/>
        </w:rPr>
      </w:pPr>
      <w:r>
        <w:rPr>
          <w:rFonts w:hint="eastAsia" w:ascii="Times New Roman" w:hAnsi="Times New Roman" w:eastAsia="仿宋" w:cs="Times New Roman"/>
          <w:color w:val="000000" w:themeColor="text1"/>
          <w:sz w:val="28"/>
          <w:szCs w:val="28"/>
          <w14:textFill>
            <w14:solidFill>
              <w14:schemeClr w14:val="tx1"/>
            </w14:solidFill>
          </w14:textFill>
        </w:rPr>
        <w:t>本分包合同所有</w:t>
      </w:r>
      <w:r>
        <w:rPr>
          <w:rFonts w:ascii="Times New Roman" w:hAnsi="Times New Roman" w:eastAsia="仿宋" w:cs="Times New Roman"/>
          <w:color w:val="000000" w:themeColor="text1"/>
          <w:sz w:val="28"/>
          <w:szCs w:val="28"/>
          <w14:textFill>
            <w14:solidFill>
              <w14:schemeClr w14:val="tx1"/>
            </w14:solidFill>
          </w14:textFill>
        </w:rPr>
        <w:t>交付成果</w:t>
      </w:r>
      <w:r>
        <w:rPr>
          <w:rFonts w:hint="eastAsia" w:ascii="Times New Roman" w:hAnsi="Times New Roman" w:eastAsia="仿宋" w:cs="Times New Roman"/>
          <w:sz w:val="28"/>
          <w:szCs w:val="28"/>
        </w:rPr>
        <w:t>均须以中英文双语形式提交</w:t>
      </w:r>
      <w:r>
        <w:rPr>
          <w:rFonts w:ascii="Times New Roman" w:hAnsi="Times New Roman" w:eastAsia="仿宋" w:cs="Times New Roman"/>
          <w:sz w:val="28"/>
          <w:szCs w:val="28"/>
        </w:rPr>
        <w:t>，如表述出现不一致或矛盾，以中文为准</w:t>
      </w:r>
      <w:r>
        <w:rPr>
          <w:rFonts w:hint="eastAsia" w:ascii="Times New Roman" w:hAnsi="Times New Roman" w:eastAsia="仿宋" w:cs="Times New Roman"/>
          <w:sz w:val="28"/>
          <w:szCs w:val="28"/>
        </w:rPr>
        <w:t>。</w:t>
      </w:r>
    </w:p>
    <w:p w14:paraId="6A2C08D7">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本</w:t>
      </w:r>
      <w:r>
        <w:rPr>
          <w:rFonts w:hint="eastAsia" w:ascii="Times New Roman" w:hAnsi="Times New Roman" w:eastAsia="仿宋" w:cs="Times New Roman"/>
          <w:color w:val="000000" w:themeColor="text1"/>
          <w:sz w:val="28"/>
          <w:szCs w:val="28"/>
          <w14:textFill>
            <w14:solidFill>
              <w14:schemeClr w14:val="tx1"/>
            </w14:solidFill>
          </w14:textFill>
        </w:rPr>
        <w:t>分包</w:t>
      </w:r>
      <w:r>
        <w:rPr>
          <w:rFonts w:ascii="Times New Roman" w:hAnsi="Times New Roman" w:eastAsia="仿宋" w:cs="Times New Roman"/>
          <w:color w:val="000000" w:themeColor="text1"/>
          <w:sz w:val="28"/>
          <w:szCs w:val="28"/>
          <w14:textFill>
            <w14:solidFill>
              <w14:schemeClr w14:val="tx1"/>
            </w14:solidFill>
          </w14:textFill>
        </w:rPr>
        <w:t>合同的交付成果将为实现以下</w:t>
      </w:r>
      <w:r>
        <w:rPr>
          <w:rFonts w:hint="eastAsia" w:ascii="Times New Roman" w:hAnsi="Times New Roman" w:eastAsia="仿宋" w:cs="Times New Roman"/>
          <w:color w:val="000000" w:themeColor="text1"/>
          <w:sz w:val="28"/>
          <w:szCs w:val="28"/>
          <w14:textFill>
            <w14:solidFill>
              <w14:schemeClr w14:val="tx1"/>
            </w14:solidFill>
          </w14:textFill>
        </w:rPr>
        <w:t>项目文件中的项目开发目标（PDO）</w:t>
      </w:r>
      <w:r>
        <w:rPr>
          <w:rFonts w:ascii="Times New Roman" w:hAnsi="Times New Roman" w:eastAsia="仿宋" w:cs="Times New Roman"/>
          <w:color w:val="000000" w:themeColor="text1"/>
          <w:sz w:val="28"/>
          <w:szCs w:val="28"/>
          <w14:textFill>
            <w14:solidFill>
              <w14:schemeClr w14:val="tx1"/>
            </w14:solidFill>
          </w14:textFill>
        </w:rPr>
        <w:t>及中期指标作出贡献</w:t>
      </w:r>
      <w:r>
        <w:rPr>
          <w:rFonts w:hint="eastAsia" w:ascii="Times New Roman" w:hAnsi="Times New Roman" w:eastAsia="仿宋" w:cs="Times New Roman"/>
          <w:color w:val="000000" w:themeColor="text1"/>
          <w:sz w:val="28"/>
          <w:szCs w:val="28"/>
          <w14:textFill>
            <w14:solidFill>
              <w14:schemeClr w14:val="tx1"/>
            </w14:solidFill>
          </w14:textFill>
        </w:rPr>
        <w:t>：</w:t>
      </w:r>
    </w:p>
    <w:tbl>
      <w:tblPr>
        <w:tblStyle w:val="12"/>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4763"/>
        <w:gridCol w:w="1845"/>
      </w:tblGrid>
      <w:tr w14:paraId="5EF7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913" w:type="dxa"/>
            <w:tcBorders>
              <w:tl2br w:val="nil"/>
              <w:tr2bl w:val="nil"/>
            </w:tcBorders>
            <w:vAlign w:val="center"/>
          </w:tcPr>
          <w:p w14:paraId="2134A91B">
            <w:pPr>
              <w:pStyle w:val="2"/>
              <w:ind w:firstLine="0" w:firstLineChars="0"/>
              <w:jc w:val="center"/>
              <w:rPr>
                <w:rFonts w:eastAsia="仿宋"/>
                <w:b/>
                <w:bCs/>
                <w:sz w:val="24"/>
              </w:rPr>
            </w:pPr>
            <w:r>
              <w:rPr>
                <w:rFonts w:hint="eastAsia" w:eastAsia="仿宋"/>
                <w:b/>
                <w:bCs/>
                <w:sz w:val="24"/>
              </w:rPr>
              <w:t>预期交付成果</w:t>
            </w:r>
          </w:p>
        </w:tc>
        <w:tc>
          <w:tcPr>
            <w:tcW w:w="4763" w:type="dxa"/>
            <w:tcBorders>
              <w:tl2br w:val="nil"/>
              <w:tr2bl w:val="nil"/>
            </w:tcBorders>
            <w:vAlign w:val="center"/>
          </w:tcPr>
          <w:p w14:paraId="0BE3DA15">
            <w:pPr>
              <w:pStyle w:val="2"/>
              <w:ind w:firstLine="0" w:firstLineChars="0"/>
              <w:jc w:val="center"/>
              <w:rPr>
                <w:rFonts w:eastAsia="仿宋"/>
                <w:b/>
                <w:bCs/>
                <w:sz w:val="24"/>
              </w:rPr>
            </w:pPr>
            <w:r>
              <w:rPr>
                <w:rFonts w:hint="eastAsia" w:eastAsia="仿宋"/>
                <w:b/>
                <w:bCs/>
                <w:sz w:val="24"/>
              </w:rPr>
              <w:t>指标</w:t>
            </w:r>
          </w:p>
        </w:tc>
        <w:tc>
          <w:tcPr>
            <w:tcW w:w="1845" w:type="dxa"/>
            <w:tcBorders>
              <w:tl2br w:val="nil"/>
              <w:tr2bl w:val="nil"/>
            </w:tcBorders>
            <w:vAlign w:val="center"/>
          </w:tcPr>
          <w:p w14:paraId="322FD960">
            <w:pPr>
              <w:pStyle w:val="2"/>
              <w:ind w:firstLine="0" w:firstLineChars="0"/>
              <w:jc w:val="center"/>
              <w:rPr>
                <w:rFonts w:eastAsia="仿宋"/>
                <w:b/>
                <w:bCs/>
                <w:sz w:val="24"/>
              </w:rPr>
            </w:pPr>
            <w:r>
              <w:rPr>
                <w:rFonts w:hint="eastAsia" w:eastAsia="仿宋"/>
                <w:b/>
                <w:bCs/>
                <w:sz w:val="24"/>
              </w:rPr>
              <w:t>贡献类型</w:t>
            </w:r>
          </w:p>
        </w:tc>
      </w:tr>
      <w:tr w14:paraId="395E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Borders>
              <w:tl2br w:val="nil"/>
              <w:tr2bl w:val="nil"/>
            </w:tcBorders>
            <w:vAlign w:val="center"/>
          </w:tcPr>
          <w:p w14:paraId="31720E42">
            <w:pPr>
              <w:pStyle w:val="2"/>
              <w:ind w:firstLine="0" w:firstLineChars="0"/>
              <w:jc w:val="center"/>
              <w:rPr>
                <w:rFonts w:eastAsia="仿宋"/>
                <w:sz w:val="24"/>
              </w:rPr>
            </w:pPr>
            <w:r>
              <w:rPr>
                <w:rFonts w:hint="eastAsia" w:eastAsia="仿宋"/>
                <w:sz w:val="24"/>
              </w:rPr>
              <w:t>交付成果4.2、4.3</w:t>
            </w:r>
          </w:p>
        </w:tc>
        <w:tc>
          <w:tcPr>
            <w:tcW w:w="4763" w:type="dxa"/>
            <w:tcBorders>
              <w:tl2br w:val="nil"/>
              <w:tr2bl w:val="nil"/>
            </w:tcBorders>
            <w:vAlign w:val="center"/>
          </w:tcPr>
          <w:p w14:paraId="04071604">
            <w:pPr>
              <w:pStyle w:val="2"/>
              <w:ind w:firstLine="0" w:firstLineChars="0"/>
              <w:rPr>
                <w:rFonts w:eastAsia="仿宋"/>
                <w:sz w:val="24"/>
              </w:rPr>
            </w:pPr>
            <w:r>
              <w:rPr>
                <w:rFonts w:hint="eastAsia" w:eastAsia="仿宋"/>
                <w:sz w:val="24"/>
              </w:rPr>
              <w:t>项目文件PDO指标2——完成3个新增行业共计6项技术指南（草案及终稿）的编制，并通过生态环境部官网发布</w:t>
            </w:r>
          </w:p>
        </w:tc>
        <w:tc>
          <w:tcPr>
            <w:tcW w:w="1845" w:type="dxa"/>
            <w:tcBorders>
              <w:tl2br w:val="nil"/>
              <w:tr2bl w:val="nil"/>
            </w:tcBorders>
            <w:vAlign w:val="center"/>
          </w:tcPr>
          <w:p w14:paraId="672CF9B3">
            <w:pPr>
              <w:pStyle w:val="2"/>
              <w:ind w:firstLine="0" w:firstLineChars="0"/>
              <w:jc w:val="center"/>
              <w:rPr>
                <w:rFonts w:eastAsia="仿宋"/>
                <w:sz w:val="24"/>
              </w:rPr>
            </w:pPr>
            <w:r>
              <w:rPr>
                <w:rFonts w:hint="eastAsia" w:eastAsia="仿宋"/>
                <w:sz w:val="24"/>
              </w:rPr>
              <w:t>间接贡献</w:t>
            </w:r>
          </w:p>
        </w:tc>
      </w:tr>
      <w:tr w14:paraId="7341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Borders>
              <w:tl2br w:val="nil"/>
              <w:tr2bl w:val="nil"/>
            </w:tcBorders>
            <w:vAlign w:val="center"/>
          </w:tcPr>
          <w:p w14:paraId="1C23F2A3">
            <w:pPr>
              <w:jc w:val="center"/>
              <w:rPr>
                <w:rFonts w:eastAsia="仿宋"/>
                <w:sz w:val="24"/>
              </w:rPr>
            </w:pPr>
            <w:r>
              <w:rPr>
                <w:rFonts w:ascii="Times New Roman" w:hAnsi="Times New Roman" w:eastAsia="仿宋" w:cs="Times New Roman"/>
                <w:sz w:val="24"/>
              </w:rPr>
              <w:t>交付成果 4.</w:t>
            </w:r>
            <w:r>
              <w:rPr>
                <w:rFonts w:hint="eastAsia" w:ascii="Times New Roman" w:hAnsi="Times New Roman" w:eastAsia="仿宋" w:cs="Times New Roman"/>
                <w:sz w:val="24"/>
              </w:rPr>
              <w:t>4</w:t>
            </w:r>
          </w:p>
        </w:tc>
        <w:tc>
          <w:tcPr>
            <w:tcW w:w="4763" w:type="dxa"/>
            <w:tcBorders>
              <w:tl2br w:val="nil"/>
              <w:tr2bl w:val="nil"/>
            </w:tcBorders>
            <w:vAlign w:val="center"/>
          </w:tcPr>
          <w:p w14:paraId="6EBF7391">
            <w:pPr>
              <w:rPr>
                <w:rFonts w:eastAsia="仿宋"/>
                <w:sz w:val="24"/>
              </w:rPr>
            </w:pPr>
            <w:r>
              <w:rPr>
                <w:rFonts w:ascii="Times New Roman" w:hAnsi="Times New Roman" w:eastAsia="仿宋" w:cs="Times New Roman"/>
                <w:sz w:val="24"/>
              </w:rPr>
              <w:t>项目文件中期指标4——先进监测技术或数据质量控制和保证技术</w:t>
            </w:r>
            <w:r>
              <w:rPr>
                <w:rFonts w:hint="eastAsia" w:ascii="Times New Roman" w:hAnsi="Times New Roman" w:eastAsia="仿宋" w:cs="Times New Roman"/>
                <w:sz w:val="24"/>
              </w:rPr>
              <w:t>试行</w:t>
            </w:r>
          </w:p>
        </w:tc>
        <w:tc>
          <w:tcPr>
            <w:tcW w:w="1845" w:type="dxa"/>
            <w:tcBorders>
              <w:tl2br w:val="nil"/>
              <w:tr2bl w:val="nil"/>
            </w:tcBorders>
            <w:vAlign w:val="center"/>
          </w:tcPr>
          <w:p w14:paraId="61F49E4B">
            <w:pPr>
              <w:jc w:val="center"/>
              <w:rPr>
                <w:rFonts w:eastAsia="仿宋"/>
                <w:sz w:val="24"/>
              </w:rPr>
            </w:pPr>
            <w:r>
              <w:rPr>
                <w:rFonts w:hint="eastAsia" w:ascii="Times New Roman" w:hAnsi="Times New Roman" w:eastAsia="仿宋" w:cs="Times New Roman"/>
                <w:sz w:val="24"/>
              </w:rPr>
              <w:t>直接贡献</w:t>
            </w:r>
          </w:p>
        </w:tc>
      </w:tr>
    </w:tbl>
    <w:p w14:paraId="6FBDC5EC">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五、</w:t>
      </w:r>
      <w:r>
        <w:rPr>
          <w:rFonts w:ascii="Times New Roman" w:hAnsi="Times New Roman" w:eastAsia="仿宋" w:cs="Times New Roman"/>
          <w:b/>
          <w:bCs/>
          <w:sz w:val="28"/>
          <w:szCs w:val="28"/>
        </w:rPr>
        <w:t>付款条件及进度安排</w:t>
      </w:r>
    </w:p>
    <w:p w14:paraId="36024B7A">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w:t>
      </w:r>
      <w:r>
        <w:rPr>
          <w:rFonts w:hint="eastAsia" w:ascii="Times New Roman" w:hAnsi="Times New Roman" w:eastAsia="仿宋" w:cs="Times New Roman"/>
          <w:sz w:val="28"/>
          <w:szCs w:val="28"/>
        </w:rPr>
        <w:t>分包</w:t>
      </w:r>
      <w:r>
        <w:rPr>
          <w:rFonts w:ascii="Times New Roman" w:hAnsi="Times New Roman" w:eastAsia="仿宋" w:cs="Times New Roman"/>
          <w:sz w:val="28"/>
          <w:szCs w:val="28"/>
        </w:rPr>
        <w:t>合同的主要任务应在1</w:t>
      </w:r>
      <w:r>
        <w:rPr>
          <w:rFonts w:hint="eastAsia" w:ascii="Times New Roman" w:hAnsi="Times New Roman" w:eastAsia="仿宋" w:cs="Times New Roman"/>
          <w:sz w:val="28"/>
          <w:szCs w:val="28"/>
        </w:rPr>
        <w:t>2</w:t>
      </w:r>
      <w:r>
        <w:rPr>
          <w:rFonts w:ascii="Times New Roman" w:hAnsi="Times New Roman" w:eastAsia="仿宋" w:cs="Times New Roman"/>
          <w:sz w:val="28"/>
          <w:szCs w:val="28"/>
        </w:rPr>
        <w:t>个月内完成，即所有关键交付成果须在1</w:t>
      </w:r>
      <w:r>
        <w:rPr>
          <w:rFonts w:hint="eastAsia" w:ascii="Times New Roman" w:hAnsi="Times New Roman" w:eastAsia="仿宋" w:cs="Times New Roman"/>
          <w:sz w:val="28"/>
          <w:szCs w:val="28"/>
        </w:rPr>
        <w:t>2</w:t>
      </w:r>
      <w:r>
        <w:rPr>
          <w:rFonts w:ascii="Times New Roman" w:hAnsi="Times New Roman" w:eastAsia="仿宋" w:cs="Times New Roman"/>
          <w:sz w:val="28"/>
          <w:szCs w:val="28"/>
        </w:rPr>
        <w:t>个月内提交。为确保交付成果的质量，</w:t>
      </w:r>
      <w:r>
        <w:rPr>
          <w:rFonts w:hint="eastAsia" w:ascii="Times New Roman" w:hAnsi="Times New Roman" w:eastAsia="仿宋" w:cs="Times New Roman"/>
          <w:sz w:val="28"/>
          <w:szCs w:val="28"/>
        </w:rPr>
        <w:t>分包</w:t>
      </w:r>
      <w:r>
        <w:rPr>
          <w:rFonts w:ascii="Times New Roman" w:hAnsi="Times New Roman" w:eastAsia="仿宋" w:cs="Times New Roman"/>
          <w:sz w:val="28"/>
          <w:szCs w:val="28"/>
        </w:rPr>
        <w:t>合同承担</w:t>
      </w:r>
      <w:r>
        <w:rPr>
          <w:rFonts w:hint="eastAsia" w:ascii="Times New Roman" w:hAnsi="Times New Roman" w:eastAsia="仿宋" w:cs="Times New Roman"/>
          <w:sz w:val="28"/>
          <w:szCs w:val="28"/>
        </w:rPr>
        <w:t>单位</w:t>
      </w:r>
      <w:r>
        <w:rPr>
          <w:rFonts w:ascii="Times New Roman" w:hAnsi="Times New Roman" w:eastAsia="仿宋" w:cs="Times New Roman"/>
          <w:sz w:val="28"/>
          <w:szCs w:val="28"/>
        </w:rPr>
        <w:t>应秉持积极的协作精神，根据PMO的要求，对交付成果进行更新、完善与优化，并提供相关技术支持。</w:t>
      </w:r>
    </w:p>
    <w:p w14:paraId="27896492">
      <w:pPr>
        <w:ind w:firstLine="560" w:firstLineChars="200"/>
        <w:rPr>
          <w:rFonts w:ascii="Times New Roman" w:hAnsi="Times New Roman" w:eastAsia="仿宋" w:cs="Times New Roman"/>
          <w:sz w:val="24"/>
        </w:rPr>
      </w:pPr>
      <w:r>
        <w:rPr>
          <w:rFonts w:ascii="Times New Roman" w:hAnsi="Times New Roman" w:eastAsia="仿宋" w:cs="Times New Roman"/>
          <w:sz w:val="28"/>
          <w:szCs w:val="28"/>
        </w:rPr>
        <w:t>本</w:t>
      </w:r>
      <w:r>
        <w:rPr>
          <w:rFonts w:hint="eastAsia" w:ascii="Times New Roman" w:hAnsi="Times New Roman" w:eastAsia="仿宋" w:cs="Times New Roman"/>
          <w:sz w:val="28"/>
          <w:szCs w:val="28"/>
        </w:rPr>
        <w:t>分包</w:t>
      </w:r>
      <w:r>
        <w:rPr>
          <w:rFonts w:ascii="Times New Roman" w:hAnsi="Times New Roman" w:eastAsia="仿宋" w:cs="Times New Roman"/>
          <w:sz w:val="28"/>
          <w:szCs w:val="28"/>
        </w:rPr>
        <w:t>合同的款项将分为3</w:t>
      </w:r>
      <w:r>
        <w:rPr>
          <w:rFonts w:hint="eastAsia" w:ascii="Times New Roman" w:hAnsi="Times New Roman" w:eastAsia="仿宋" w:cs="Times New Roman"/>
          <w:sz w:val="28"/>
          <w:szCs w:val="28"/>
        </w:rPr>
        <w:t>笔</w:t>
      </w:r>
      <w:r>
        <w:rPr>
          <w:rFonts w:ascii="Times New Roman" w:hAnsi="Times New Roman" w:eastAsia="仿宋" w:cs="Times New Roman"/>
          <w:sz w:val="28"/>
          <w:szCs w:val="28"/>
        </w:rPr>
        <w:t>支付。承担</w:t>
      </w:r>
      <w:r>
        <w:rPr>
          <w:rFonts w:hint="eastAsia" w:ascii="Times New Roman" w:hAnsi="Times New Roman" w:eastAsia="仿宋" w:cs="Times New Roman"/>
          <w:sz w:val="28"/>
          <w:szCs w:val="28"/>
        </w:rPr>
        <w:t>单位</w:t>
      </w:r>
      <w:r>
        <w:rPr>
          <w:rFonts w:ascii="Times New Roman" w:hAnsi="Times New Roman" w:eastAsia="仿宋" w:cs="Times New Roman"/>
          <w:sz w:val="28"/>
          <w:szCs w:val="28"/>
        </w:rPr>
        <w:t>在提交下表中各期付款所要求的全部文件，且文件经PMO技术评审并通过专家评审会议满意验收后，方可获得相应款项。交付成果提交及付款的具体时间建议如下</w:t>
      </w:r>
      <w:r>
        <w:rPr>
          <w:rFonts w:hint="eastAsia" w:ascii="Times New Roman" w:hAnsi="Times New Roman" w:eastAsia="仿宋" w:cs="Times New Roman"/>
          <w:sz w:val="28"/>
          <w:szCs w:val="28"/>
        </w:rPr>
        <w:t>：</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4619"/>
        <w:gridCol w:w="1761"/>
        <w:gridCol w:w="1333"/>
      </w:tblGrid>
      <w:tr w14:paraId="1364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blHeader/>
        </w:trPr>
        <w:tc>
          <w:tcPr>
            <w:tcW w:w="473" w:type="pct"/>
            <w:vAlign w:val="center"/>
          </w:tcPr>
          <w:p w14:paraId="4FC3150F">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序号</w:t>
            </w:r>
          </w:p>
        </w:tc>
        <w:tc>
          <w:tcPr>
            <w:tcW w:w="2710" w:type="pct"/>
            <w:vAlign w:val="center"/>
          </w:tcPr>
          <w:p w14:paraId="0A0BC814">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交付成果及进度</w:t>
            </w:r>
          </w:p>
        </w:tc>
        <w:tc>
          <w:tcPr>
            <w:tcW w:w="1033" w:type="pct"/>
            <w:vAlign w:val="center"/>
          </w:tcPr>
          <w:p w14:paraId="7B7CA667">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预计交付时间</w:t>
            </w:r>
          </w:p>
        </w:tc>
        <w:tc>
          <w:tcPr>
            <w:tcW w:w="782" w:type="pct"/>
            <w:vAlign w:val="center"/>
          </w:tcPr>
          <w:p w14:paraId="010762C3">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支付比例</w:t>
            </w:r>
            <w:r>
              <w:rPr>
                <w:rFonts w:ascii="Times New Roman" w:hAnsi="Times New Roman" w:eastAsia="仿宋" w:cs="Times New Roman"/>
                <w:b/>
                <w:bCs/>
                <w:sz w:val="24"/>
              </w:rPr>
              <w:t xml:space="preserve"> </w:t>
            </w:r>
          </w:p>
        </w:tc>
      </w:tr>
      <w:tr w14:paraId="04E8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13C9545C">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1</w:t>
            </w:r>
          </w:p>
        </w:tc>
        <w:tc>
          <w:tcPr>
            <w:tcW w:w="2710" w:type="pct"/>
            <w:vAlign w:val="center"/>
          </w:tcPr>
          <w:p w14:paraId="2DB60283">
            <w:pPr>
              <w:pStyle w:val="26"/>
              <w:numPr>
                <w:ilvl w:val="0"/>
                <w:numId w:val="2"/>
              </w:numPr>
              <w:spacing w:before="156" w:beforeLines="50" w:after="156" w:afterLines="50"/>
              <w:rPr>
                <w:rFonts w:ascii="Times New Roman" w:hAnsi="Times New Roman" w:eastAsia="仿宋" w:cs="Times New Roman"/>
                <w:sz w:val="24"/>
              </w:rPr>
            </w:pPr>
            <w:r>
              <w:rPr>
                <w:rFonts w:ascii="Times New Roman" w:hAnsi="Times New Roman" w:eastAsia="仿宋" w:cs="Times New Roman"/>
                <w:sz w:val="24"/>
              </w:rPr>
              <w:t>详细</w:t>
            </w:r>
            <w:r>
              <w:rPr>
                <w:rFonts w:hint="eastAsia" w:ascii="Times New Roman" w:hAnsi="Times New Roman" w:eastAsia="仿宋" w:cs="Times New Roman"/>
                <w:sz w:val="24"/>
              </w:rPr>
              <w:t>的分包任务</w:t>
            </w:r>
            <w:r>
              <w:rPr>
                <w:rFonts w:ascii="Times New Roman" w:hAnsi="Times New Roman" w:eastAsia="仿宋" w:cs="Times New Roman"/>
                <w:sz w:val="24"/>
              </w:rPr>
              <w:t>实施方案</w:t>
            </w:r>
            <w:r>
              <w:rPr>
                <w:rFonts w:hint="eastAsia" w:ascii="Times New Roman" w:hAnsi="Times New Roman" w:eastAsia="仿宋" w:cs="Times New Roman"/>
                <w:sz w:val="24"/>
              </w:rPr>
              <w:t>（含详细研究方案、工作计划及研究报告大纲）</w:t>
            </w:r>
          </w:p>
        </w:tc>
        <w:tc>
          <w:tcPr>
            <w:tcW w:w="1033" w:type="pct"/>
            <w:vAlign w:val="center"/>
          </w:tcPr>
          <w:p w14:paraId="7F994E60">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合同签署后2个月内</w:t>
            </w:r>
          </w:p>
        </w:tc>
        <w:tc>
          <w:tcPr>
            <w:tcW w:w="782" w:type="pct"/>
            <w:vAlign w:val="center"/>
          </w:tcPr>
          <w:p w14:paraId="3A8B1672">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15%</w:t>
            </w:r>
          </w:p>
        </w:tc>
      </w:tr>
      <w:tr w14:paraId="2758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4EB1CE03">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2</w:t>
            </w:r>
          </w:p>
        </w:tc>
        <w:tc>
          <w:tcPr>
            <w:tcW w:w="2710" w:type="pct"/>
            <w:vAlign w:val="center"/>
          </w:tcPr>
          <w:p w14:paraId="16391AD7">
            <w:pPr>
              <w:pStyle w:val="26"/>
              <w:numPr>
                <w:ilvl w:val="0"/>
                <w:numId w:val="3"/>
              </w:numPr>
              <w:spacing w:before="156" w:beforeLines="50" w:after="156" w:afterLines="5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14:textFill>
                  <w14:solidFill>
                    <w14:schemeClr w14:val="tx1"/>
                  </w14:solidFill>
                </w14:textFill>
              </w:rPr>
              <w:t>交付成果4.1、交付成果4.2、交付成果4.3、交付成果4.4的初稿</w:t>
            </w:r>
          </w:p>
        </w:tc>
        <w:tc>
          <w:tcPr>
            <w:tcW w:w="1033" w:type="pct"/>
            <w:vAlign w:val="center"/>
          </w:tcPr>
          <w:p w14:paraId="11EBA592">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合同签署后6个月内</w:t>
            </w:r>
          </w:p>
        </w:tc>
        <w:tc>
          <w:tcPr>
            <w:tcW w:w="782" w:type="pct"/>
            <w:vAlign w:val="center"/>
          </w:tcPr>
          <w:p w14:paraId="27C7641A">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50</w:t>
            </w:r>
            <w:r>
              <w:rPr>
                <w:rFonts w:ascii="Times New Roman" w:hAnsi="Times New Roman" w:eastAsia="仿宋" w:cs="Times New Roman"/>
                <w:sz w:val="24"/>
              </w:rPr>
              <w:t>%</w:t>
            </w:r>
          </w:p>
        </w:tc>
      </w:tr>
      <w:tr w14:paraId="2BC0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26E55939">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3</w:t>
            </w:r>
          </w:p>
        </w:tc>
        <w:tc>
          <w:tcPr>
            <w:tcW w:w="2710" w:type="pct"/>
            <w:vAlign w:val="center"/>
          </w:tcPr>
          <w:p w14:paraId="479CAB7F">
            <w:pPr>
              <w:pStyle w:val="26"/>
              <w:numPr>
                <w:ilvl w:val="0"/>
                <w:numId w:val="4"/>
              </w:numPr>
              <w:spacing w:before="156" w:beforeLines="50" w:after="156" w:afterLines="50"/>
              <w:rPr>
                <w:rFonts w:ascii="Times New Roman" w:hAnsi="Times New Roman" w:eastAsia="仿宋" w:cs="Times New Roman"/>
                <w:sz w:val="24"/>
              </w:rPr>
            </w:pPr>
            <w:r>
              <w:rPr>
                <w:rFonts w:hint="eastAsia" w:ascii="Times New Roman" w:hAnsi="Times New Roman" w:eastAsia="仿宋" w:cs="Times New Roman"/>
                <w:sz w:val="24"/>
              </w:rPr>
              <w:t>上述所有</w:t>
            </w:r>
            <w:r>
              <w:rPr>
                <w:rFonts w:hint="eastAsia" w:ascii="Times New Roman" w:hAnsi="Times New Roman" w:eastAsia="仿宋" w:cs="Times New Roman"/>
                <w:color w:val="000000" w:themeColor="text1"/>
                <w:sz w:val="24"/>
                <w14:textFill>
                  <w14:solidFill>
                    <w14:schemeClr w14:val="tx1"/>
                  </w14:solidFill>
                </w14:textFill>
              </w:rPr>
              <w:t>交付成果</w:t>
            </w:r>
            <w:r>
              <w:rPr>
                <w:rFonts w:hint="eastAsia" w:ascii="Times New Roman" w:hAnsi="Times New Roman" w:eastAsia="仿宋" w:cs="Times New Roman"/>
                <w:sz w:val="24"/>
              </w:rPr>
              <w:t>最终报告</w:t>
            </w:r>
          </w:p>
        </w:tc>
        <w:tc>
          <w:tcPr>
            <w:tcW w:w="1033" w:type="pct"/>
            <w:vAlign w:val="center"/>
          </w:tcPr>
          <w:p w14:paraId="0E930EB9">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合同签署后11个月内</w:t>
            </w:r>
          </w:p>
        </w:tc>
        <w:tc>
          <w:tcPr>
            <w:tcW w:w="782" w:type="pct"/>
            <w:vAlign w:val="center"/>
          </w:tcPr>
          <w:p w14:paraId="606C09C7">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35</w:t>
            </w:r>
            <w:r>
              <w:rPr>
                <w:rFonts w:ascii="Times New Roman" w:hAnsi="Times New Roman" w:eastAsia="仿宋" w:cs="Times New Roman"/>
                <w:sz w:val="24"/>
              </w:rPr>
              <w:t>%</w:t>
            </w:r>
          </w:p>
        </w:tc>
      </w:tr>
    </w:tbl>
    <w:p w14:paraId="2BB9BEC8">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承担单位</w:t>
      </w:r>
      <w:r>
        <w:rPr>
          <w:rFonts w:ascii="Times New Roman" w:hAnsi="Times New Roman" w:eastAsia="仿宋" w:cs="Times New Roman"/>
          <w:sz w:val="28"/>
          <w:szCs w:val="28"/>
        </w:rPr>
        <w:t>应在项目建议书中制定详细的项目时间表，明确各项交付成果的提交时间安排。交付成果提交及付款的最终时间安排以合同条款与条件为准。</w:t>
      </w:r>
    </w:p>
    <w:p w14:paraId="6FBDC608">
      <w:pPr>
        <w:ind w:firstLine="560" w:firstLineChars="200"/>
        <w:rPr>
          <w:rFonts w:ascii="Times New Roman" w:hAnsi="Times New Roman" w:eastAsia="仿宋" w:cs="Times New Roman"/>
          <w:sz w:val="28"/>
        </w:rPr>
      </w:pPr>
      <w:r>
        <w:rPr>
          <w:rFonts w:ascii="Times New Roman" w:hAnsi="Times New Roman" w:eastAsia="仿宋" w:cs="Times New Roman"/>
          <w:sz w:val="28"/>
          <w:szCs w:val="28"/>
        </w:rPr>
        <w:t>根据分包合同实施的实际情况，经双方协商一致，可对合同进行适当的修订或续签。</w:t>
      </w:r>
    </w:p>
    <w:p w14:paraId="6FBDC609">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六、</w:t>
      </w:r>
      <w:r>
        <w:rPr>
          <w:rFonts w:ascii="Times New Roman" w:hAnsi="Times New Roman" w:eastAsia="仿宋" w:cs="Times New Roman"/>
          <w:b/>
          <w:bCs/>
          <w:sz w:val="28"/>
          <w:szCs w:val="28"/>
        </w:rPr>
        <w:t>咨询服务单位资质及团队要求</w:t>
      </w:r>
    </w:p>
    <w:p w14:paraId="6F20DAB3">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 xml:space="preserve">6.1 </w:t>
      </w:r>
      <w:r>
        <w:rPr>
          <w:rFonts w:ascii="Times New Roman" w:hAnsi="Times New Roman" w:eastAsia="仿宋" w:cs="Times New Roman"/>
          <w:color w:val="000000" w:themeColor="text1"/>
          <w:sz w:val="28"/>
          <w:szCs w:val="28"/>
          <w14:textFill>
            <w14:solidFill>
              <w14:schemeClr w14:val="tx1"/>
            </w14:solidFill>
          </w14:textFill>
        </w:rPr>
        <w:t>课题承接单位要求</w:t>
      </w:r>
    </w:p>
    <w:p w14:paraId="1B96FC18">
      <w:pPr>
        <w:widowControl/>
        <w:overflowPunct w:val="0"/>
        <w:autoSpaceDE w:val="0"/>
        <w:autoSpaceDN w:val="0"/>
        <w:adjustRightInd w:val="0"/>
        <w:spacing w:line="360" w:lineRule="auto"/>
        <w:ind w:firstLine="562" w:firstLineChars="200"/>
        <w:textAlignment w:val="baseline"/>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b/>
          <w:bCs/>
          <w:sz w:val="28"/>
          <w:szCs w:val="28"/>
        </w:rPr>
        <w:t>本项目允许联合体参与投标，联合体各方应满足本工作任务大纲所要求的资质条件，且需满足《中华人民共和国政府采购法》第二十二条规定，并明确牵头单位和参与单位的各方职责分工。</w:t>
      </w:r>
    </w:p>
    <w:p w14:paraId="5A72E9F4">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本项目分包任务旨在从行业技术层面和政策分析层面开展研究和评估，要求承担单位具备以下经验：</w:t>
      </w:r>
    </w:p>
    <w:p w14:paraId="41284AC1">
      <w:pPr>
        <w:numPr>
          <w:ilvl w:val="0"/>
          <w:numId w:val="5"/>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对全国碳排放权交易市场建设相关政策、要求、发展方向具有深刻的认识，熟悉水泥行业工艺流程、碳排放特点及MRV体系的技术规范与实践进展；</w:t>
      </w:r>
    </w:p>
    <w:p w14:paraId="74926F47">
      <w:pPr>
        <w:numPr>
          <w:ilvl w:val="0"/>
          <w:numId w:val="5"/>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具有承担国家级或省部级政策研究项目的经历，特别是与碳市场、水泥行业、碳排放数据管理等相关的政策咨询和决策支持研究经验；</w:t>
      </w:r>
    </w:p>
    <w:p w14:paraId="7E372AEA">
      <w:pPr>
        <w:numPr>
          <w:ilvl w:val="0"/>
          <w:numId w:val="5"/>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具备协调典型水泥生产企业提供现场调研及先进技术应用配合的能力，能够有效组织与水泥企业、核查机构、行业协会、主管部门等利益相关方的调研访谈和专题会议；</w:t>
      </w:r>
    </w:p>
    <w:p w14:paraId="0C4BE9FC">
      <w:pPr>
        <w:numPr>
          <w:ilvl w:val="0"/>
          <w:numId w:val="5"/>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具备国际交流合作基础，能够获取国际碳市场水泥行业配额管理及MRV体系的最新动态和实践经验；</w:t>
      </w:r>
    </w:p>
    <w:p w14:paraId="0ABC2C0A">
      <w:pPr>
        <w:numPr>
          <w:ilvl w:val="0"/>
          <w:numId w:val="5"/>
        </w:numPr>
        <w:autoSpaceDE w:val="0"/>
        <w:autoSpaceDN w:val="0"/>
        <w:adjustRightInd w:val="0"/>
        <w:spacing w:line="600" w:lineRule="exact"/>
        <w:rPr>
          <w:rFonts w:eastAsia="仿宋"/>
          <w:sz w:val="28"/>
          <w:szCs w:val="28"/>
        </w:rPr>
      </w:pPr>
      <w:r>
        <w:rPr>
          <w:rFonts w:hint="eastAsia" w:ascii="Times New Roman" w:hAnsi="Times New Roman" w:eastAsia="仿宋" w:cs="Times New Roman"/>
          <w:sz w:val="28"/>
          <w:szCs w:val="28"/>
        </w:rPr>
        <w:t>具备开展工业领域碳排放监测技术应用或相关技术验证的经验者优先。</w:t>
      </w:r>
    </w:p>
    <w:p w14:paraId="77DA85B0">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 xml:space="preserve">6.2 </w:t>
      </w:r>
      <w:r>
        <w:rPr>
          <w:rFonts w:ascii="Times New Roman" w:hAnsi="Times New Roman" w:eastAsia="仿宋" w:cs="Times New Roman"/>
          <w:color w:val="000000" w:themeColor="text1"/>
          <w:sz w:val="28"/>
          <w:szCs w:val="28"/>
          <w14:textFill>
            <w14:solidFill>
              <w14:schemeClr w14:val="tx1"/>
            </w14:solidFill>
          </w14:textFill>
        </w:rPr>
        <w:t>课题研究团队要求</w:t>
      </w:r>
    </w:p>
    <w:p w14:paraId="1547B065">
      <w:pPr>
        <w:numPr>
          <w:ilvl w:val="0"/>
          <w:numId w:val="6"/>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项目团队不少于10人，保证项目实施有充足且专业的人员。团队构成应有研究人员、项目与财务管理人员、环境社会风险管控人员等。</w:t>
      </w:r>
    </w:p>
    <w:p w14:paraId="07D9F013">
      <w:pPr>
        <w:numPr>
          <w:ilvl w:val="0"/>
          <w:numId w:val="6"/>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项目团队应设置项目负责人，负责项目总体规划、任务部署和进度把控等工作，且应具备以下条件：</w:t>
      </w:r>
    </w:p>
    <w:p w14:paraId="21C07AC5">
      <w:pPr>
        <w:numPr>
          <w:ilvl w:val="0"/>
          <w:numId w:val="7"/>
        </w:numPr>
        <w:adjustRightInd w:val="0"/>
        <w:snapToGrid w:val="0"/>
        <w:spacing w:line="360" w:lineRule="auto"/>
        <w:ind w:firstLine="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在碳市场、水泥行业碳排放管理、环境政策或能源经济等领域具有5年以上研究或政策咨询经验；或作为项目负责人，承担过至少1项国家部委或省级政府委托的碳市场、水泥行业配额管理或MRV体系相关研究项目。</w:t>
      </w:r>
    </w:p>
    <w:p w14:paraId="0804F31B">
      <w:pPr>
        <w:numPr>
          <w:ilvl w:val="0"/>
          <w:numId w:val="6"/>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项目团队应配备与工作大纲内容相符的研究人员，以支撑全部工作任务的完成，项目研究团队人员构成应满足以下条件：</w:t>
      </w:r>
    </w:p>
    <w:p w14:paraId="556362BC">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b/>
          <w:bCs/>
          <w:color w:val="000000" w:themeColor="text1"/>
          <w:sz w:val="28"/>
          <w:szCs w:val="28"/>
          <w14:textFill>
            <w14:solidFill>
              <w14:schemeClr w14:val="tx1"/>
            </w14:solidFill>
          </w14:textFill>
        </w:rPr>
        <w:t>水泥行业配额管理研究方向</w:t>
      </w:r>
    </w:p>
    <w:p w14:paraId="0490E4B7">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在碳排放权交易或水泥行业经济政策领域具有3年以上工作经验，或曾以主要技术人员身份承担过国家级或省部级水泥行业配额分配方案相关项目；</w:t>
      </w:r>
    </w:p>
    <w:p w14:paraId="766203C8">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熟悉全国碳排放权交易市场水泥行业配额分配机制（包括基准线法、行业平衡值、总量控制路径等），具备系统性梳理和评估能力。</w:t>
      </w:r>
    </w:p>
    <w:p w14:paraId="163AFB69">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b/>
          <w:bCs/>
          <w:color w:val="000000" w:themeColor="text1"/>
          <w:sz w:val="28"/>
          <w:szCs w:val="28"/>
          <w14:textFill>
            <w14:solidFill>
              <w14:schemeClr w14:val="tx1"/>
            </w14:solidFill>
          </w14:textFill>
        </w:rPr>
        <w:t>水泥行业MRV体系研究方向</w:t>
      </w:r>
    </w:p>
    <w:p w14:paraId="5E4082C4">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在碳排放核算、报告与核查领域具有</w:t>
      </w:r>
      <w:r>
        <w:rPr>
          <w:rFonts w:hint="eastAsia" w:ascii="Times New Roman" w:hAnsi="Times New Roman" w:eastAsia="仿宋" w:cs="Times New Roman"/>
          <w:color w:val="000000" w:themeColor="text1"/>
          <w:sz w:val="28"/>
          <w:szCs w:val="28"/>
          <w14:textFill>
            <w14:solidFill>
              <w14:schemeClr w14:val="tx1"/>
            </w14:solidFill>
          </w14:textFill>
        </w:rPr>
        <w:t>3</w:t>
      </w:r>
      <w:r>
        <w:rPr>
          <w:rFonts w:ascii="Times New Roman" w:hAnsi="Times New Roman" w:eastAsia="仿宋" w:cs="Times New Roman"/>
          <w:color w:val="000000" w:themeColor="text1"/>
          <w:sz w:val="28"/>
          <w:szCs w:val="28"/>
          <w14:textFill>
            <w14:solidFill>
              <w14:schemeClr w14:val="tx1"/>
            </w14:solidFill>
          </w14:textFill>
        </w:rPr>
        <w:t>年以上工作经验，或曾以主要技术人员身份参与过</w:t>
      </w:r>
      <w:r>
        <w:rPr>
          <w:rFonts w:hint="eastAsia" w:ascii="Times New Roman" w:hAnsi="Times New Roman" w:eastAsia="仿宋" w:cs="Times New Roman"/>
          <w:color w:val="000000" w:themeColor="text1"/>
          <w:sz w:val="28"/>
          <w:szCs w:val="28"/>
          <w14:textFill>
            <w14:solidFill>
              <w14:schemeClr w14:val="tx1"/>
            </w14:solidFill>
          </w14:textFill>
        </w:rPr>
        <w:t>水泥</w:t>
      </w:r>
      <w:r>
        <w:rPr>
          <w:rFonts w:ascii="Times New Roman" w:hAnsi="Times New Roman" w:eastAsia="仿宋" w:cs="Times New Roman"/>
          <w:color w:val="000000" w:themeColor="text1"/>
          <w:sz w:val="28"/>
          <w:szCs w:val="28"/>
          <w14:textFill>
            <w14:solidFill>
              <w14:schemeClr w14:val="tx1"/>
            </w14:solidFill>
          </w14:textFill>
        </w:rPr>
        <w:t>行业MRV指南修订或核查技术规范制定项目；</w:t>
      </w:r>
    </w:p>
    <w:p w14:paraId="0D3E8461">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 xml:space="preserve">熟悉《企业温室气体排放核算与报告指南 </w:t>
      </w:r>
      <w:r>
        <w:rPr>
          <w:rFonts w:hint="eastAsia" w:ascii="Times New Roman" w:hAnsi="Times New Roman" w:eastAsia="仿宋" w:cs="Times New Roman"/>
          <w:color w:val="000000" w:themeColor="text1"/>
          <w:sz w:val="28"/>
          <w:szCs w:val="28"/>
          <w14:textFill>
            <w14:solidFill>
              <w14:schemeClr w14:val="tx1"/>
            </w14:solidFill>
          </w14:textFill>
        </w:rPr>
        <w:t>水泥</w:t>
      </w:r>
      <w:r>
        <w:rPr>
          <w:rFonts w:ascii="Times New Roman" w:hAnsi="Times New Roman" w:eastAsia="仿宋" w:cs="Times New Roman"/>
          <w:color w:val="000000" w:themeColor="text1"/>
          <w:sz w:val="28"/>
          <w:szCs w:val="28"/>
          <w14:textFill>
            <w14:solidFill>
              <w14:schemeClr w14:val="tx1"/>
            </w14:solidFill>
          </w14:textFill>
        </w:rPr>
        <w:t>行业》及核查相关技术规范，能够诊断核算难点和数据质量薄弱环节。</w:t>
      </w:r>
    </w:p>
    <w:p w14:paraId="1DEC4E13">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b/>
          <w:bCs/>
          <w:color w:val="000000" w:themeColor="text1"/>
          <w:sz w:val="28"/>
          <w:szCs w:val="28"/>
          <w14:textFill>
            <w14:solidFill>
              <w14:schemeClr w14:val="tx1"/>
            </w14:solidFill>
          </w14:textFill>
        </w:rPr>
        <w:t>碳排放监测技术方向</w:t>
      </w:r>
    </w:p>
    <w:p w14:paraId="5F655B60">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在监测技术或工业自动化领域具有3年以上工作经验，或曾以主要技术人员身份参与过</w:t>
      </w:r>
      <w:r>
        <w:rPr>
          <w:rFonts w:hint="eastAsia" w:ascii="Times New Roman" w:hAnsi="Times New Roman" w:eastAsia="仿宋" w:cs="Times New Roman"/>
          <w:color w:val="000000" w:themeColor="text1"/>
          <w:sz w:val="28"/>
          <w:szCs w:val="28"/>
          <w14:textFill>
            <w14:solidFill>
              <w14:schemeClr w14:val="tx1"/>
            </w14:solidFill>
          </w14:textFill>
        </w:rPr>
        <w:t>水泥</w:t>
      </w:r>
      <w:r>
        <w:rPr>
          <w:rFonts w:ascii="Times New Roman" w:hAnsi="Times New Roman" w:eastAsia="仿宋" w:cs="Times New Roman"/>
          <w:color w:val="000000" w:themeColor="text1"/>
          <w:sz w:val="28"/>
          <w:szCs w:val="28"/>
          <w14:textFill>
            <w14:solidFill>
              <w14:schemeClr w14:val="tx1"/>
            </w14:solidFill>
          </w14:textFill>
        </w:rPr>
        <w:t>行业碳排放监测技术</w:t>
      </w:r>
      <w:r>
        <w:rPr>
          <w:rFonts w:hint="eastAsia" w:ascii="Times New Roman" w:hAnsi="Times New Roman" w:eastAsia="仿宋" w:cs="Times New Roman"/>
          <w:color w:val="000000" w:themeColor="text1"/>
          <w:sz w:val="28"/>
          <w:szCs w:val="28"/>
          <w14:textFill>
            <w14:solidFill>
              <w14:schemeClr w14:val="tx1"/>
            </w14:solidFill>
          </w14:textFill>
        </w:rPr>
        <w:t>应用</w:t>
      </w:r>
      <w:r>
        <w:rPr>
          <w:rFonts w:ascii="Times New Roman" w:hAnsi="Times New Roman" w:eastAsia="仿宋" w:cs="Times New Roman"/>
          <w:color w:val="000000" w:themeColor="text1"/>
          <w:sz w:val="28"/>
          <w:szCs w:val="28"/>
          <w14:textFill>
            <w14:solidFill>
              <w14:schemeClr w14:val="tx1"/>
            </w14:solidFill>
          </w14:textFill>
        </w:rPr>
        <w:t>或相关项目；</w:t>
      </w:r>
    </w:p>
    <w:p w14:paraId="70407488">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熟悉连续排放监测系统（CEMS）、智能传感器等技术的原理与应用条件，具备</w:t>
      </w:r>
      <w:r>
        <w:rPr>
          <w:rFonts w:hint="eastAsia" w:ascii="Times New Roman" w:hAnsi="Times New Roman" w:eastAsia="仿宋" w:cs="Times New Roman"/>
          <w:color w:val="000000" w:themeColor="text1"/>
          <w:sz w:val="28"/>
          <w:szCs w:val="28"/>
          <w14:textFill>
            <w14:solidFill>
              <w14:schemeClr w14:val="tx1"/>
            </w14:solidFill>
          </w14:textFill>
        </w:rPr>
        <w:t>技术应用</w:t>
      </w:r>
      <w:r>
        <w:rPr>
          <w:rFonts w:ascii="Times New Roman" w:hAnsi="Times New Roman" w:eastAsia="仿宋" w:cs="Times New Roman"/>
          <w:color w:val="000000" w:themeColor="text1"/>
          <w:sz w:val="28"/>
          <w:szCs w:val="28"/>
          <w14:textFill>
            <w14:solidFill>
              <w14:schemeClr w14:val="tx1"/>
            </w14:solidFill>
          </w14:textFill>
        </w:rPr>
        <w:t>现场组织能力。</w:t>
      </w:r>
    </w:p>
    <w:p w14:paraId="36258C98">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ascii="Times New Roman" w:hAnsi="Times New Roman" w:eastAsia="仿宋" w:cs="Times New Roman"/>
          <w:b/>
          <w:bCs/>
          <w:color w:val="000000" w:themeColor="text1"/>
          <w:sz w:val="28"/>
          <w:szCs w:val="28"/>
          <w14:textFill>
            <w14:solidFill>
              <w14:schemeClr w14:val="tx1"/>
            </w14:solidFill>
          </w14:textFill>
        </w:rPr>
        <w:t>国际经验对比分析方向</w:t>
      </w:r>
    </w:p>
    <w:p w14:paraId="46A38024">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在国际碳市场或</w:t>
      </w:r>
      <w:r>
        <w:rPr>
          <w:rFonts w:hint="eastAsia" w:ascii="Times New Roman" w:hAnsi="Times New Roman" w:eastAsia="仿宋" w:cs="Times New Roman"/>
          <w:color w:val="000000" w:themeColor="text1"/>
          <w:sz w:val="28"/>
          <w:szCs w:val="28"/>
          <w14:textFill>
            <w14:solidFill>
              <w14:schemeClr w14:val="tx1"/>
            </w14:solidFill>
          </w14:textFill>
        </w:rPr>
        <w:t>水泥</w:t>
      </w:r>
      <w:r>
        <w:rPr>
          <w:rFonts w:ascii="Times New Roman" w:hAnsi="Times New Roman" w:eastAsia="仿宋" w:cs="Times New Roman"/>
          <w:color w:val="000000" w:themeColor="text1"/>
          <w:sz w:val="28"/>
          <w:szCs w:val="28"/>
          <w14:textFill>
            <w14:solidFill>
              <w14:schemeClr w14:val="tx1"/>
            </w14:solidFill>
          </w14:textFill>
        </w:rPr>
        <w:t>行业碳管理政策研究领域具有3年以上工作经验，具备以英文开展研究工作的能力；</w:t>
      </w:r>
    </w:p>
    <w:p w14:paraId="59981810">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熟悉国际主要碳市场（如欧盟ETS、韩国ETS等）</w:t>
      </w:r>
      <w:r>
        <w:rPr>
          <w:rFonts w:hint="eastAsia" w:ascii="Times New Roman" w:hAnsi="Times New Roman" w:eastAsia="仿宋" w:cs="Times New Roman"/>
          <w:color w:val="000000" w:themeColor="text1"/>
          <w:sz w:val="28"/>
          <w:szCs w:val="28"/>
          <w14:textFill>
            <w14:solidFill>
              <w14:schemeClr w14:val="tx1"/>
            </w14:solidFill>
          </w14:textFill>
        </w:rPr>
        <w:t>水泥</w:t>
      </w:r>
      <w:r>
        <w:rPr>
          <w:rFonts w:ascii="Times New Roman" w:hAnsi="Times New Roman" w:eastAsia="仿宋" w:cs="Times New Roman"/>
          <w:color w:val="000000" w:themeColor="text1"/>
          <w:sz w:val="28"/>
          <w:szCs w:val="28"/>
          <w14:textFill>
            <w14:solidFill>
              <w14:schemeClr w14:val="tx1"/>
            </w14:solidFill>
          </w14:textFill>
        </w:rPr>
        <w:t>行业配额管理及MRV体系的制度设计与实践经验。</w:t>
      </w:r>
    </w:p>
    <w:p w14:paraId="6F08D9D5">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ascii="Times New Roman" w:hAnsi="Times New Roman" w:eastAsia="仿宋" w:cs="Times New Roman"/>
          <w:b/>
          <w:bCs/>
          <w:color w:val="000000" w:themeColor="text1"/>
          <w:sz w:val="28"/>
          <w:szCs w:val="28"/>
          <w14:textFill>
            <w14:solidFill>
              <w14:schemeClr w14:val="tx1"/>
            </w14:solidFill>
          </w14:textFill>
        </w:rPr>
        <w:t>企业诉求调研与数据分析方向</w:t>
      </w:r>
    </w:p>
    <w:p w14:paraId="5A331FF4">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在</w:t>
      </w:r>
      <w:r>
        <w:rPr>
          <w:rFonts w:hint="eastAsia" w:ascii="Times New Roman" w:hAnsi="Times New Roman" w:eastAsia="仿宋" w:cs="Times New Roman"/>
          <w:color w:val="000000" w:themeColor="text1"/>
          <w:sz w:val="28"/>
          <w:szCs w:val="28"/>
          <w14:textFill>
            <w14:solidFill>
              <w14:schemeClr w14:val="tx1"/>
            </w14:solidFill>
          </w14:textFill>
        </w:rPr>
        <w:t>水泥</w:t>
      </w:r>
      <w:r>
        <w:rPr>
          <w:rFonts w:ascii="Times New Roman" w:hAnsi="Times New Roman" w:eastAsia="仿宋" w:cs="Times New Roman"/>
          <w:color w:val="000000" w:themeColor="text1"/>
          <w:sz w:val="28"/>
          <w:szCs w:val="28"/>
          <w14:textFill>
            <w14:solidFill>
              <w14:schemeClr w14:val="tx1"/>
            </w14:solidFill>
          </w14:textFill>
        </w:rPr>
        <w:t>行业企业调研、数据收集与分析领域具有3年以上工作经历，或曾以主要技术人员身份参与过</w:t>
      </w:r>
      <w:r>
        <w:rPr>
          <w:rFonts w:hint="eastAsia" w:ascii="Times New Roman" w:hAnsi="Times New Roman" w:eastAsia="仿宋" w:cs="Times New Roman"/>
          <w:color w:val="000000" w:themeColor="text1"/>
          <w:sz w:val="28"/>
          <w:szCs w:val="28"/>
          <w14:textFill>
            <w14:solidFill>
              <w14:schemeClr w14:val="tx1"/>
            </w14:solidFill>
          </w14:textFill>
        </w:rPr>
        <w:t>水泥</w:t>
      </w:r>
      <w:r>
        <w:rPr>
          <w:rFonts w:ascii="Times New Roman" w:hAnsi="Times New Roman" w:eastAsia="仿宋" w:cs="Times New Roman"/>
          <w:color w:val="000000" w:themeColor="text1"/>
          <w:sz w:val="28"/>
          <w:szCs w:val="28"/>
          <w14:textFill>
            <w14:solidFill>
              <w14:schemeClr w14:val="tx1"/>
            </w14:solidFill>
          </w14:textFill>
        </w:rPr>
        <w:t>企业碳排放数据统计分析或问卷调研项目；</w:t>
      </w:r>
    </w:p>
    <w:p w14:paraId="3275F712">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具备设计问卷、组织调研访谈、处理企业级碳排放数据的能力。</w:t>
      </w:r>
    </w:p>
    <w:p w14:paraId="4803B5D7">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ascii="Times New Roman" w:hAnsi="Times New Roman" w:eastAsia="仿宋" w:cs="Times New Roman"/>
          <w:b/>
          <w:bCs/>
          <w:color w:val="000000" w:themeColor="text1"/>
          <w:sz w:val="28"/>
          <w:szCs w:val="28"/>
          <w14:textFill>
            <w14:solidFill>
              <w14:schemeClr w14:val="tx1"/>
            </w14:solidFill>
          </w14:textFill>
        </w:rPr>
        <w:t>其他辅助研究人员</w:t>
      </w:r>
    </w:p>
    <w:p w14:paraId="0FBE843C">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根据研究工作实际需要，配备在相关研究领域具有2年以上工作经验的成员；</w:t>
      </w:r>
    </w:p>
    <w:p w14:paraId="680D22FB">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具备承担资料收集、数据分析、报告撰写、会议组织等技术支持工作的能力。</w:t>
      </w:r>
    </w:p>
    <w:p w14:paraId="73EB9DA2">
      <w:pPr>
        <w:numPr>
          <w:ilvl w:val="0"/>
          <w:numId w:val="6"/>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项目团队还应配备了解世界银行或多边国际组织环境社会背景或具有相关环境社会影响与风险管理经验的环境专家和社会专家各1人，按照世界银行《环境和社会框架》（ESF）政策要求，识别、评估本咨询服务活动涉及的潜在环境和社会风险及影响，提出相应的处置和缓解措施建议；负责各交付成果中环境与社会影响分析章节的撰写；协助制定并实施信息公开计划及公众参与计划；接受项目管理办公室所聘请的环境社会专家的监督和指导。</w:t>
      </w:r>
    </w:p>
    <w:p w14:paraId="310B5620">
      <w:pPr>
        <w:numPr>
          <w:ilvl w:val="0"/>
          <w:numId w:val="6"/>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项目团队需配备财务管理1人，按照世界银行相关政策要求，负责本项目财务日常管理、编制项目财务报告，并配合提交项目监督管理及审计所需的所有资料。</w:t>
      </w:r>
    </w:p>
    <w:p w14:paraId="6FBDC618">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七、</w:t>
      </w:r>
      <w:r>
        <w:rPr>
          <w:rFonts w:ascii="Times New Roman" w:hAnsi="Times New Roman" w:eastAsia="仿宋" w:cs="Times New Roman"/>
          <w:b/>
          <w:bCs/>
          <w:sz w:val="28"/>
          <w:szCs w:val="28"/>
        </w:rPr>
        <w:t>环境社会风险要求</w:t>
      </w:r>
    </w:p>
    <w:p w14:paraId="39D9A151">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本咨询服务分包项目的设计和实施，应依据世界银行《环境和社会管理框架》及世界银行的《技术援助与环境社会框架指南》中的相关要求，按照项目的《环境社会管理框架》中制定的环境社会管理程序对分包任务所涉及的潜在环境和社会风险及影响进行筛选/分析和评价，并提出应对措施和建议，确保项目活动及产出符合项目制定的环境和社会管理框架（</w:t>
      </w:r>
      <w:r>
        <w:rPr>
          <w:rFonts w:ascii="Times New Roman" w:hAnsi="Times New Roman" w:eastAsia="仿宋" w:cs="Times New Roman"/>
          <w:sz w:val="28"/>
          <w:szCs w:val="28"/>
        </w:rPr>
        <w:t>ESMF）、环境和社会承诺计划（ESCP）及利益相关方参与计划（SEP）的相关要求。</w:t>
      </w:r>
    </w:p>
    <w:p w14:paraId="2CF4FE8B">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根据项目管理办公室所聘请的环境社会专家的意见，确定本分包任务所需要准备的环境、社会文件的类型及要求（文件类型指的是根据研究课题的类型准备相应文件）。</w:t>
      </w:r>
    </w:p>
    <w:p w14:paraId="15AEE37C">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按照世行《技术援助与环境社会框架指南》确定是否需要编制单独的环境社会评价文件包括规划评价或战略评价报告，还是可以仅作为研究报告的一个章节。</w:t>
      </w:r>
    </w:p>
    <w:p w14:paraId="67C8B880">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在环境社会专家的指导下，根据本项目活动所涉及的环境社会风险类型，并结合项目活动本身需要，召开项目利益相关方磋商会、咨询会、培训会、宣贯会及研讨会等，制定并实施信息公开计划及公众参与计划；同时根据要求，参加世界银行及项目管理办公室组织的相关环境社会风险类会议。</w:t>
      </w:r>
    </w:p>
    <w:p w14:paraId="7312D778">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根据项目管理办公室的要求，每半年提供本分包项目在环境社会风险方面所开展的工作进展，并接受项目管理办公室及其所聘请环境社会专家的监督和指导。</w:t>
      </w:r>
    </w:p>
    <w:p w14:paraId="7015E930">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所有交付成果须包含不少于一（1）页的专项环境与社会影响分析章节，内容须完整涵盖以下要素：</w:t>
      </w:r>
    </w:p>
    <w:p w14:paraId="2CDC0CAD">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（1）下游影响识别：识别并分析本交付成果所提出的政策建议、技术指南或制度方案在被后续采纳和实施后，可能对区域环境、行业生产、相关社区就业及民生等方面产生的间接影响和长远风险；</w:t>
      </w:r>
    </w:p>
    <w:p w14:paraId="74F360DC">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（2）弱势群体影响分析：在下游影响识别的基础上，专项评估上述政策或技术变化对弱势群体（包括但不限于低收入群体、受碳市场政策影响的特定行业从业人员及其家属）可能造成的差异性影响；</w:t>
      </w:r>
    </w:p>
    <w:p w14:paraId="2D11B6C0">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（3）缓解措施建议：针对已识别的下游影响和弱势群体风险，提出具体、可操作的缓解和应对措施建议。</w:t>
      </w:r>
    </w:p>
    <w:p w14:paraId="6FBDC61D">
      <w:pPr>
        <w:spacing w:before="156" w:beforeLines="50" w:after="156" w:afterLines="50"/>
        <w:ind w:firstLine="560" w:firstLineChars="200"/>
        <w:rPr>
          <w:rFonts w:ascii="Times New Roman" w:hAnsi="Times New Roman" w:eastAsia="仿宋" w:cs="Times New Roman"/>
          <w:sz w:val="28"/>
        </w:rPr>
      </w:pPr>
      <w:r>
        <w:rPr>
          <w:rFonts w:hint="eastAsia" w:ascii="Times New Roman" w:hAnsi="Times New Roman" w:eastAsia="仿宋" w:cs="Times New Roman"/>
          <w:sz w:val="28"/>
          <w:szCs w:val="28"/>
        </w:rPr>
        <w:t>上述章节的篇幅应与交付成果所涉及议题的复杂程度相适应，原则上不少于一（1）页，如研究内容涉及重大政策调整或显著社会影响，应适当增加篇幅或根据项目管理办公室环境社会专家的意见决定是否编制独立的环境社会评价文件。</w:t>
      </w:r>
    </w:p>
    <w:p w14:paraId="6FBDC61E">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八、</w:t>
      </w:r>
      <w:r>
        <w:rPr>
          <w:rFonts w:ascii="Times New Roman" w:hAnsi="Times New Roman" w:eastAsia="仿宋" w:cs="Times New Roman"/>
          <w:b/>
          <w:bCs/>
          <w:sz w:val="28"/>
          <w:szCs w:val="28"/>
        </w:rPr>
        <w:t>采购方式</w:t>
      </w:r>
    </w:p>
    <w:p w14:paraId="6FBDC61F">
      <w:pPr>
        <w:spacing w:before="156" w:beforeLines="50" w:after="156" w:afterLines="50"/>
        <w:ind w:firstLine="560" w:firstLineChars="200"/>
        <w:rPr>
          <w:rFonts w:ascii="Times New Roman" w:hAnsi="Times New Roman" w:eastAsia="仿宋" w:cs="Times New Roman"/>
          <w:sz w:val="28"/>
        </w:rPr>
      </w:pPr>
      <w:r>
        <w:rPr>
          <w:rFonts w:ascii="Times New Roman" w:hAnsi="Times New Roman" w:eastAsia="仿宋" w:cs="Times New Roman"/>
          <w:sz w:val="28"/>
        </w:rPr>
        <w:t>本项目分包工作任务拟采用基于咨询顾问资历的选择（CQS）方式进行采购。</w:t>
      </w:r>
    </w:p>
    <w:p w14:paraId="6BEA07CF">
      <w:pPr>
        <w:pStyle w:val="2"/>
      </w:pPr>
      <w:bookmarkStart w:id="0" w:name="_GoBack"/>
      <w:bookmarkEnd w:id="0"/>
    </w:p>
    <w:sectPr>
      <w:footerReference r:id="rId7" w:type="first"/>
      <w:headerReference r:id="rId4" w:type="default"/>
      <w:footerReference r:id="rId5" w:type="default"/>
      <w:footerReference r:id="rId6"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089215BA-343A-45F2-B813-8BB9A1A5937A}"/>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embedRegular r:id="rId2" w:fontKey="{F0E467A7-56AE-4D7F-8507-386BA5EE976C}"/>
  </w:font>
  <w:font w:name="Calibri Light">
    <w:panose1 w:val="020F0302020204030204"/>
    <w:charset w:val="00"/>
    <w:family w:val="swiss"/>
    <w:pitch w:val="default"/>
    <w:sig w:usb0="E4002EFF" w:usb1="C000247B" w:usb2="00000009" w:usb3="00000000" w:csb0="200001FF" w:csb1="00000000"/>
    <w:embedRegular r:id="rId3" w:fontKey="{931A2A32-E500-4B89-A3BD-0B1D879309C8}"/>
  </w:font>
  <w:font w:name="Segoe UI">
    <w:panose1 w:val="020B0502040204020203"/>
    <w:charset w:val="00"/>
    <w:family w:val="swiss"/>
    <w:pitch w:val="default"/>
    <w:sig w:usb0="E4002EFF" w:usb1="C000E47F" w:usb2="00000009" w:usb3="00000000" w:csb0="200001FF" w:csb1="00000000"/>
    <w:embedRegular r:id="rId4" w:fontKey="{B8592322-3770-4528-9CD2-EAD388917FA5}"/>
  </w:font>
  <w:font w:name="仿宋_GB2312">
    <w:panose1 w:val="02010609030101010101"/>
    <w:charset w:val="86"/>
    <w:family w:val="modern"/>
    <w:pitch w:val="default"/>
    <w:sig w:usb0="00000001" w:usb1="080E0000" w:usb2="00000000" w:usb3="00000000" w:csb0="00040000" w:csb1="00000000"/>
    <w:embedRegular r:id="rId5" w:fontKey="{6B263DE5-804C-4A5C-A7D6-B975E638D398}"/>
  </w:font>
  <w:font w:name="Aptos">
    <w:altName w:val="Segoe UI"/>
    <w:panose1 w:val="00000000000000000000"/>
    <w:charset w:val="00"/>
    <w:family w:val="swiss"/>
    <w:pitch w:val="default"/>
    <w:sig w:usb0="00000000" w:usb1="00000000" w:usb2="00000000" w:usb3="00000000" w:csb0="0000019F" w:csb1="00000000"/>
    <w:embedRegular r:id="rId6" w:fontKey="{F205BB6C-4418-4401-BEE9-DB69D4EDE99A}"/>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DC624">
    <w:pPr>
      <w:pStyle w:val="7"/>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70305" cy="345440"/>
              <wp:effectExtent l="0" t="0" r="0" b="0"/>
              <wp:wrapNone/>
              <wp:docPr id="1379333618" name="Text Box 3" descr="Official Use Only"/>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566C3AD9">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3" o:spid="_x0000_s1026" o:spt="202" alt="Official Use Only" type="#_x0000_t202" style="position:absolute;left:0pt;height:27.2pt;width:92.1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4kvdtUAAAAEAQAADwAAAAAAAAABACAAAAAiAAAAZHJzL2Rv&#10;d25yZXYueG1sUEsBAhQAFAAAAAgAh07iQHnGVhk9AgAAdwQAAA4AAAAAAAAAAQAgAAAAJAEAAGRy&#10;cy9lMm9Eb2MueG1sUEsFBgAAAAAGAAYAWQEAANMFAAAAAA==&#10;">
              <v:fill on="f" focussize="0,0"/>
              <v:stroke on="f"/>
              <v:imagedata o:title=""/>
              <o:lock v:ext="edit" aspectratio="f"/>
              <v:textbox inset="0mm,0mm,20pt,15pt" style="mso-fit-shape-to-text:t;">
                <w:txbxContent>
                  <w:p w14:paraId="566C3AD9">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DC62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FBDC62B">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CB962">
    <w:pPr>
      <w:pStyle w:val="7"/>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70305" cy="345440"/>
              <wp:effectExtent l="0" t="0" r="0" b="0"/>
              <wp:wrapNone/>
              <wp:docPr id="1299488552" name="Text Box 2" descr="Official Use Only"/>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7B7A39A2">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2" o:spid="_x0000_s1026" o:spt="202" alt="Official Use Only" type="#_x0000_t202" style="position:absolute;left:0pt;height:27.2pt;width:92.1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4kvdtUAAAAEAQAADwAAAAAAAAABACAAAAAiAAAAZHJzL2Rv&#10;d25yZXYueG1sUEsBAhQAFAAAAAgAh07iQFsjpA89AgAAdwQAAA4AAAAAAAAAAQAgAAAAJAEAAGRy&#10;cy9lMm9Eb2MueG1sUEsFBgAAAAAGAAYAWQEAANMFAAAAAA==&#10;">
              <v:fill on="f" focussize="0,0"/>
              <v:stroke on="f"/>
              <v:imagedata o:title=""/>
              <o:lock v:ext="edit" aspectratio="f"/>
              <v:textbox inset="0mm,0mm,20pt,15pt" style="mso-fit-shape-to-text:t;">
                <w:txbxContent>
                  <w:p w14:paraId="7B7A39A2">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A4BCB">
    <w:pPr>
      <w:pStyle w:val="7"/>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70305" cy="345440"/>
              <wp:effectExtent l="0" t="0" r="0" b="0"/>
              <wp:wrapNone/>
              <wp:docPr id="933250951" name="Text Box 1" descr="Official Use Only"/>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4BF69FB4">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1" o:spid="_x0000_s1026" o:spt="202" alt="Official Use Only" type="#_x0000_t202" style="position:absolute;left:0pt;height:27.2pt;width:92.1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uJL3bVAAAABAEAAA8AAAAAAAAAAQAgAAAAIgAAAGRycy9kb3du&#10;cmV2LnhtbFBLAQIUABQAAAAIAIdO4kDbQAL4OwIAAHYEAAAOAAAAAAAAAAEAIAAAACQBAABkcnMv&#10;ZTJvRG9jLnhtbFBLBQYAAAAABgAGAFkBAADRBQAAAAA=&#10;">
              <v:fill on="f" focussize="0,0"/>
              <v:stroke on="f"/>
              <v:imagedata o:title=""/>
              <o:lock v:ext="edit" aspectratio="f"/>
              <v:textbox inset="0mm,0mm,20pt,15pt" style="mso-fit-shape-to-text:t;">
                <w:txbxContent>
                  <w:p w14:paraId="4BF69FB4">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6FBDC627">
      <w:pPr>
        <w:pStyle w:val="9"/>
      </w:pPr>
      <w:r>
        <w:rPr>
          <w:rStyle w:val="17"/>
        </w:rPr>
        <w:footnoteRef/>
      </w:r>
      <w:r>
        <w:t xml:space="preserve"> </w:t>
      </w:r>
      <w:r>
        <w:rPr>
          <w:rFonts w:hint="eastAsia" w:ascii="Times New Roman" w:hAnsi="Times New Roman"/>
        </w:rPr>
        <w:t>PMI-3分包任务旨在研究扩大ETS行业覆盖范围及完善国家ETS配额体系。</w:t>
      </w:r>
    </w:p>
  </w:footnote>
  <w:footnote w:id="1">
    <w:p w14:paraId="6FBDC628">
      <w:pPr>
        <w:pStyle w:val="9"/>
      </w:pPr>
      <w:r>
        <w:rPr>
          <w:rStyle w:val="17"/>
        </w:rPr>
        <w:footnoteRef/>
      </w:r>
      <w:r>
        <w:t xml:space="preserve"> </w:t>
      </w:r>
      <w:r>
        <w:rPr>
          <w:rFonts w:ascii="Times New Roman" w:hAnsi="Times New Roman" w:cs="Segoe UI"/>
          <w:color w:val="0F1115"/>
          <w:szCs w:val="18"/>
          <w:shd w:val="clear" w:color="auto" w:fill="FFFFFF"/>
        </w:rPr>
        <w:t>PMI‑4分包</w:t>
      </w:r>
      <w:r>
        <w:rPr>
          <w:rFonts w:hint="eastAsia" w:ascii="Times New Roman" w:hAnsi="Times New Roman" w:cs="Segoe UI"/>
          <w:color w:val="0F1115"/>
          <w:szCs w:val="18"/>
          <w:shd w:val="clear" w:color="auto" w:fill="FFFFFF"/>
        </w:rPr>
        <w:t>任务</w:t>
      </w:r>
      <w:r>
        <w:rPr>
          <w:rFonts w:ascii="Times New Roman" w:hAnsi="Times New Roman" w:cs="Segoe UI"/>
          <w:color w:val="0F1115"/>
          <w:szCs w:val="18"/>
          <w:shd w:val="clear" w:color="auto" w:fill="FFFFFF"/>
        </w:rPr>
        <w:t>旨在研究提升ETS监管能力与加强数据管理平台建设、CCER制度实施效果评估及优化相关技术</w:t>
      </w:r>
      <w:r>
        <w:rPr>
          <w:rFonts w:hint="eastAsia" w:ascii="Times New Roman" w:hAnsi="Times New Roman" w:cs="Segoe UI"/>
          <w:color w:val="0F1115"/>
          <w:szCs w:val="18"/>
          <w:shd w:val="clear" w:color="auto" w:fill="FFFFFF"/>
        </w:rPr>
        <w:t>。</w:t>
      </w:r>
    </w:p>
  </w:footnote>
  <w:footnote w:id="2">
    <w:p w14:paraId="6FBDC629">
      <w:pPr>
        <w:pStyle w:val="9"/>
      </w:pPr>
      <w:r>
        <w:rPr>
          <w:rStyle w:val="17"/>
        </w:rPr>
        <w:footnoteRef/>
      </w:r>
      <w:r>
        <w:t xml:space="preserve"> </w:t>
      </w:r>
      <w:r>
        <w:rPr>
          <w:rFonts w:hint="eastAsia" w:ascii="Times New Roman" w:hAnsi="Times New Roman"/>
        </w:rPr>
        <w:t>PMI-17分包任务旨在通过开展检查、开发培训材料、监督咨询/检测/核查技术服务机构、修订方法学或指南等方式加强ETS和CCER的MRV监督与管理。</w:t>
      </w:r>
    </w:p>
  </w:footnote>
  <w:footnote w:id="3">
    <w:p w14:paraId="3AE4C40B">
      <w:pPr>
        <w:pStyle w:val="9"/>
      </w:pPr>
      <w:r>
        <w:rPr>
          <w:rStyle w:val="17"/>
        </w:rPr>
        <w:footnoteRef/>
      </w:r>
      <w:r>
        <w:t xml:space="preserve"> </w:t>
      </w:r>
      <w:r>
        <w:rPr>
          <w:rFonts w:hint="eastAsia"/>
        </w:rPr>
        <w:t>钢铁、水泥、铝冶炼行业平衡值是按照《2024、2025 年度全国碳排放权交易市场钢铁、水泥、铝冶炼行业配额总量和分配方案》规定的配额分配方法，基于各行业全部重点排放单位当年度碳排放核查结果，测算得到的各行业碳排放配额总量与应清缴配额总量（经核查排放量）相等时对应的主要工序碳排放强度水平，反映了各行业总体碳排放绩效（基准水平），是确定各企业（生产线、工序）碳排放强度偏离度和碳排放强度系数的重要依据，可通过全国碳市场管理平台进行查询。</w:t>
      </w:r>
    </w:p>
  </w:footnote>
  <w:footnote w:id="4">
    <w:p w14:paraId="3F726FFD">
      <w:pPr>
        <w:pStyle w:val="9"/>
      </w:pPr>
      <w:r>
        <w:rPr>
          <w:rStyle w:val="17"/>
        </w:rPr>
        <w:footnoteRef/>
      </w:r>
      <w:r>
        <w:t xml:space="preserve"> </w:t>
      </w:r>
      <w:r>
        <w:rPr>
          <w:rFonts w:hint="eastAsia" w:ascii="Times New Roman" w:hAnsi="Times New Roman" w:eastAsia="宋体" w:cs="Times New Roman"/>
          <w:szCs w:val="18"/>
        </w:rPr>
        <w:t>中国市场伙伴实施基金赠款项目（P504267）的项目文件。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9F278">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2E7B6"/>
    <w:multiLevelType w:val="singleLevel"/>
    <w:tmpl w:val="BCD2E7B6"/>
    <w:lvl w:ilvl="0" w:tentative="0">
      <w:start w:val="1"/>
      <w:numFmt w:val="chineseCounting"/>
      <w:pStyle w:val="3"/>
      <w:suff w:val="nothing"/>
      <w:lvlText w:val="%1、"/>
      <w:lvlJc w:val="left"/>
      <w:pPr>
        <w:ind w:left="630"/>
      </w:pPr>
      <w:rPr>
        <w:rFonts w:hint="eastAsia" w:ascii="仿宋" w:hAnsi="仿宋" w:eastAsia="仿宋" w:cs="黑体"/>
      </w:rPr>
    </w:lvl>
  </w:abstractNum>
  <w:abstractNum w:abstractNumId="1">
    <w:nsid w:val="C3FF578C"/>
    <w:multiLevelType w:val="singleLevel"/>
    <w:tmpl w:val="C3FF578C"/>
    <w:lvl w:ilvl="0" w:tentative="0">
      <w:start w:val="1"/>
      <w:numFmt w:val="lowerLetter"/>
      <w:lvlText w:val="%1."/>
      <w:lvlJc w:val="left"/>
      <w:pPr>
        <w:tabs>
          <w:tab w:val="left" w:pos="420"/>
        </w:tabs>
        <w:ind w:left="845" w:hanging="425"/>
      </w:pPr>
      <w:rPr>
        <w:rFonts w:hint="default"/>
      </w:rPr>
    </w:lvl>
  </w:abstractNum>
  <w:abstractNum w:abstractNumId="2">
    <w:nsid w:val="F79F99E7"/>
    <w:multiLevelType w:val="multilevel"/>
    <w:tmpl w:val="F79F99E7"/>
    <w:lvl w:ilvl="0" w:tentative="0">
      <w:start w:val="1"/>
      <w:numFmt w:val="bullet"/>
      <w:lvlText w:val=""/>
      <w:lvlJc w:val="left"/>
      <w:pPr>
        <w:tabs>
          <w:tab w:val="left" w:pos="840"/>
        </w:tabs>
        <w:ind w:left="1260" w:hanging="420"/>
      </w:pPr>
      <w:rPr>
        <w:rFonts w:hint="default" w:ascii="Wingdings" w:hAnsi="Wingdings"/>
        <w:b w:val="0"/>
        <w:bCs w:val="0"/>
      </w:rPr>
    </w:lvl>
    <w:lvl w:ilvl="1" w:tentative="0">
      <w:start w:val="1"/>
      <w:numFmt w:val="bullet"/>
      <w:lvlText w:val=""/>
      <w:lvlJc w:val="left"/>
      <w:pPr>
        <w:tabs>
          <w:tab w:val="left" w:pos="840"/>
        </w:tabs>
        <w:ind w:left="1680" w:hanging="420"/>
      </w:pPr>
      <w:rPr>
        <w:rFonts w:hint="default" w:ascii="Wingdings" w:hAnsi="Wingdings"/>
      </w:rPr>
    </w:lvl>
    <w:lvl w:ilvl="2" w:tentative="0">
      <w:start w:val="1"/>
      <w:numFmt w:val="bullet"/>
      <w:lvlText w:val=""/>
      <w:lvlJc w:val="left"/>
      <w:pPr>
        <w:tabs>
          <w:tab w:val="left" w:pos="1260"/>
        </w:tabs>
        <w:ind w:left="2100" w:hanging="420"/>
      </w:pPr>
      <w:rPr>
        <w:rFonts w:hint="default" w:ascii="Wingdings" w:hAnsi="Wingdings"/>
      </w:rPr>
    </w:lvl>
    <w:lvl w:ilvl="3" w:tentative="0">
      <w:start w:val="1"/>
      <w:numFmt w:val="bullet"/>
      <w:lvlText w:val=""/>
      <w:lvlJc w:val="left"/>
      <w:pPr>
        <w:tabs>
          <w:tab w:val="left" w:pos="1680"/>
        </w:tabs>
        <w:ind w:left="2520" w:hanging="420"/>
      </w:pPr>
      <w:rPr>
        <w:rFonts w:hint="default" w:ascii="Wingdings" w:hAnsi="Wingdings"/>
      </w:rPr>
    </w:lvl>
    <w:lvl w:ilvl="4" w:tentative="0">
      <w:start w:val="1"/>
      <w:numFmt w:val="bullet"/>
      <w:lvlText w:val=""/>
      <w:lvlJc w:val="left"/>
      <w:pPr>
        <w:tabs>
          <w:tab w:val="left" w:pos="2100"/>
        </w:tabs>
        <w:ind w:left="2940" w:hanging="420"/>
      </w:pPr>
      <w:rPr>
        <w:rFonts w:hint="default" w:ascii="Wingdings" w:hAnsi="Wingdings"/>
      </w:rPr>
    </w:lvl>
    <w:lvl w:ilvl="5" w:tentative="0">
      <w:start w:val="1"/>
      <w:numFmt w:val="bullet"/>
      <w:lvlText w:val=""/>
      <w:lvlJc w:val="left"/>
      <w:pPr>
        <w:tabs>
          <w:tab w:val="left" w:pos="2520"/>
        </w:tabs>
        <w:ind w:left="3360" w:hanging="420"/>
      </w:pPr>
      <w:rPr>
        <w:rFonts w:hint="default" w:ascii="Wingdings" w:hAnsi="Wingdings"/>
      </w:rPr>
    </w:lvl>
    <w:lvl w:ilvl="6" w:tentative="0">
      <w:start w:val="1"/>
      <w:numFmt w:val="bullet"/>
      <w:lvlText w:val=""/>
      <w:lvlJc w:val="left"/>
      <w:pPr>
        <w:tabs>
          <w:tab w:val="left" w:pos="2940"/>
        </w:tabs>
        <w:ind w:left="3780" w:hanging="420"/>
      </w:pPr>
      <w:rPr>
        <w:rFonts w:hint="default" w:ascii="Wingdings" w:hAnsi="Wingdings"/>
      </w:rPr>
    </w:lvl>
    <w:lvl w:ilvl="7" w:tentative="0">
      <w:start w:val="1"/>
      <w:numFmt w:val="bullet"/>
      <w:lvlText w:val=""/>
      <w:lvlJc w:val="left"/>
      <w:pPr>
        <w:tabs>
          <w:tab w:val="left" w:pos="3360"/>
        </w:tabs>
        <w:ind w:left="4200" w:hanging="420"/>
      </w:pPr>
      <w:rPr>
        <w:rFonts w:hint="default" w:ascii="Wingdings" w:hAnsi="Wingdings"/>
      </w:rPr>
    </w:lvl>
    <w:lvl w:ilvl="8" w:tentative="0">
      <w:start w:val="1"/>
      <w:numFmt w:val="bullet"/>
      <w:lvlText w:val=""/>
      <w:lvlJc w:val="left"/>
      <w:pPr>
        <w:tabs>
          <w:tab w:val="left" w:pos="3780"/>
        </w:tabs>
        <w:ind w:left="4620" w:hanging="420"/>
      </w:pPr>
      <w:rPr>
        <w:rFonts w:hint="default" w:ascii="Wingdings" w:hAnsi="Wingdings"/>
      </w:rPr>
    </w:lvl>
  </w:abstractNum>
  <w:abstractNum w:abstractNumId="3">
    <w:nsid w:val="FCFE1975"/>
    <w:multiLevelType w:val="singleLevel"/>
    <w:tmpl w:val="FCFE1975"/>
    <w:lvl w:ilvl="0" w:tentative="0">
      <w:start w:val="1"/>
      <w:numFmt w:val="lowerLetter"/>
      <w:lvlText w:val="%1."/>
      <w:lvlJc w:val="left"/>
      <w:pPr>
        <w:tabs>
          <w:tab w:val="left" w:pos="420"/>
        </w:tabs>
        <w:ind w:left="845" w:hanging="425"/>
      </w:pPr>
      <w:rPr>
        <w:rFonts w:hint="default"/>
      </w:rPr>
    </w:lvl>
  </w:abstractNum>
  <w:abstractNum w:abstractNumId="4">
    <w:nsid w:val="3DD24FCC"/>
    <w:multiLevelType w:val="multilevel"/>
    <w:tmpl w:val="3DD24FCC"/>
    <w:lvl w:ilvl="0" w:tentative="0">
      <w:start w:val="1"/>
      <w:numFmt w:val="lowerLetter"/>
      <w:lvlText w:val="%1."/>
      <w:lvlJc w:val="left"/>
      <w:pPr>
        <w:ind w:left="360" w:hanging="360"/>
      </w:pPr>
      <w:rPr>
        <w:rFonts w:hint="default"/>
        <w:i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3ED418F5"/>
    <w:multiLevelType w:val="multilevel"/>
    <w:tmpl w:val="3ED418F5"/>
    <w:lvl w:ilvl="0" w:tentative="0">
      <w:start w:val="1"/>
      <w:numFmt w:val="lowerLetter"/>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451878E4"/>
    <w:multiLevelType w:val="multilevel"/>
    <w:tmpl w:val="451878E4"/>
    <w:lvl w:ilvl="0" w:tentative="0">
      <w:start w:val="1"/>
      <w:numFmt w:val="lowerLetter"/>
      <w:lvlText w:val="%1."/>
      <w:lvlJc w:val="left"/>
      <w:pPr>
        <w:ind w:left="360" w:hanging="360"/>
      </w:pPr>
      <w:rPr>
        <w:rFonts w:hint="default"/>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4"/>
  </w:num>
  <w:num w:numId="3">
    <w:abstractNumId w:val="6"/>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trackRevisions w:val="1"/>
  <w:documentProtection w:enforcement="0"/>
  <w:defaultTabStop w:val="420"/>
  <w:drawingGridVerticalSpacing w:val="156"/>
  <w:noPunctuationKerning w:val="1"/>
  <w:characterSpacingControl w:val="compressPunctuation"/>
  <w:footnotePr>
    <w:footnote w:id="10"/>
    <w:footnote w:id="1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67F"/>
    <w:rsid w:val="000A4D84"/>
    <w:rsid w:val="000A7018"/>
    <w:rsid w:val="000B3D3B"/>
    <w:rsid w:val="000C08A4"/>
    <w:rsid w:val="000C73BE"/>
    <w:rsid w:val="000E42C4"/>
    <w:rsid w:val="0010581D"/>
    <w:rsid w:val="00157C87"/>
    <w:rsid w:val="001A4709"/>
    <w:rsid w:val="0029777F"/>
    <w:rsid w:val="002E03EA"/>
    <w:rsid w:val="00395090"/>
    <w:rsid w:val="004143BF"/>
    <w:rsid w:val="004E128F"/>
    <w:rsid w:val="004F64E2"/>
    <w:rsid w:val="0052632F"/>
    <w:rsid w:val="0058468F"/>
    <w:rsid w:val="006128F6"/>
    <w:rsid w:val="006252E6"/>
    <w:rsid w:val="00694831"/>
    <w:rsid w:val="006A528E"/>
    <w:rsid w:val="006F082B"/>
    <w:rsid w:val="00711BA0"/>
    <w:rsid w:val="00724562"/>
    <w:rsid w:val="00752DD4"/>
    <w:rsid w:val="00776AC1"/>
    <w:rsid w:val="007A2597"/>
    <w:rsid w:val="007A71F9"/>
    <w:rsid w:val="007B1DFA"/>
    <w:rsid w:val="007C0A60"/>
    <w:rsid w:val="007F5BDD"/>
    <w:rsid w:val="00894B5E"/>
    <w:rsid w:val="0089638D"/>
    <w:rsid w:val="008A65C3"/>
    <w:rsid w:val="008E2FA3"/>
    <w:rsid w:val="00916F91"/>
    <w:rsid w:val="00947404"/>
    <w:rsid w:val="00963D5E"/>
    <w:rsid w:val="009B2D98"/>
    <w:rsid w:val="009C3152"/>
    <w:rsid w:val="009D198C"/>
    <w:rsid w:val="009D6817"/>
    <w:rsid w:val="009E1D0B"/>
    <w:rsid w:val="00A11870"/>
    <w:rsid w:val="00A50629"/>
    <w:rsid w:val="00A64E13"/>
    <w:rsid w:val="00AD28D6"/>
    <w:rsid w:val="00B137F5"/>
    <w:rsid w:val="00B22B2F"/>
    <w:rsid w:val="00B446A7"/>
    <w:rsid w:val="00BC02E8"/>
    <w:rsid w:val="00BD019C"/>
    <w:rsid w:val="00BE34FF"/>
    <w:rsid w:val="00C3367F"/>
    <w:rsid w:val="00C805ED"/>
    <w:rsid w:val="00C8221D"/>
    <w:rsid w:val="00CF3E4F"/>
    <w:rsid w:val="00D0741B"/>
    <w:rsid w:val="00D35CB8"/>
    <w:rsid w:val="00D46C89"/>
    <w:rsid w:val="00D670A2"/>
    <w:rsid w:val="00D855F0"/>
    <w:rsid w:val="00D92EC8"/>
    <w:rsid w:val="00DC259C"/>
    <w:rsid w:val="00DD0FA9"/>
    <w:rsid w:val="00DE1680"/>
    <w:rsid w:val="00DF6890"/>
    <w:rsid w:val="00E0550F"/>
    <w:rsid w:val="00E20CC1"/>
    <w:rsid w:val="00E257D8"/>
    <w:rsid w:val="00E40BB8"/>
    <w:rsid w:val="00E665F3"/>
    <w:rsid w:val="00E742E6"/>
    <w:rsid w:val="00EB71D1"/>
    <w:rsid w:val="00EC75A9"/>
    <w:rsid w:val="00EE45A7"/>
    <w:rsid w:val="00F21389"/>
    <w:rsid w:val="00F508F4"/>
    <w:rsid w:val="00FB52E6"/>
    <w:rsid w:val="00FC40A9"/>
    <w:rsid w:val="0851476E"/>
    <w:rsid w:val="094E3682"/>
    <w:rsid w:val="113737D1"/>
    <w:rsid w:val="11D83D96"/>
    <w:rsid w:val="16D176F4"/>
    <w:rsid w:val="1AEB2ADF"/>
    <w:rsid w:val="1B7A2FFD"/>
    <w:rsid w:val="1C88406A"/>
    <w:rsid w:val="239F5928"/>
    <w:rsid w:val="24DCAA09"/>
    <w:rsid w:val="32775382"/>
    <w:rsid w:val="32BA2B5F"/>
    <w:rsid w:val="3527393B"/>
    <w:rsid w:val="3751774D"/>
    <w:rsid w:val="381A5444"/>
    <w:rsid w:val="3C9D1E49"/>
    <w:rsid w:val="3CF955DB"/>
    <w:rsid w:val="3D7FF978"/>
    <w:rsid w:val="3DD32530"/>
    <w:rsid w:val="412C5357"/>
    <w:rsid w:val="42EA7F9A"/>
    <w:rsid w:val="437851CC"/>
    <w:rsid w:val="45C42947"/>
    <w:rsid w:val="463A773B"/>
    <w:rsid w:val="48A85F90"/>
    <w:rsid w:val="4D8F592B"/>
    <w:rsid w:val="4D9B1658"/>
    <w:rsid w:val="4DAE6FCF"/>
    <w:rsid w:val="4E1C2622"/>
    <w:rsid w:val="513B239A"/>
    <w:rsid w:val="521C79A8"/>
    <w:rsid w:val="523A278D"/>
    <w:rsid w:val="52C673B2"/>
    <w:rsid w:val="532801B6"/>
    <w:rsid w:val="545A11DC"/>
    <w:rsid w:val="58202904"/>
    <w:rsid w:val="594A6647"/>
    <w:rsid w:val="5B6BA06D"/>
    <w:rsid w:val="5DDF5128"/>
    <w:rsid w:val="5F9C6AF4"/>
    <w:rsid w:val="633F5AA5"/>
    <w:rsid w:val="6B001646"/>
    <w:rsid w:val="6EBFBD7C"/>
    <w:rsid w:val="6ED251E8"/>
    <w:rsid w:val="76DC0CC3"/>
    <w:rsid w:val="77025884"/>
    <w:rsid w:val="79643252"/>
    <w:rsid w:val="79ED60B9"/>
    <w:rsid w:val="7A7FAD88"/>
    <w:rsid w:val="7B0E336E"/>
    <w:rsid w:val="7CB719AB"/>
    <w:rsid w:val="7EF86055"/>
    <w:rsid w:val="7FAB1A76"/>
    <w:rsid w:val="7FFC81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numPr>
        <w:ilvl w:val="0"/>
        <w:numId w:val="1"/>
      </w:numPr>
      <w:outlineLvl w:val="0"/>
    </w:pPr>
    <w:rPr>
      <w:rFonts w:ascii="黑体" w:hAnsi="黑体" w:eastAsia="黑体" w:cs="黑体"/>
      <w:sz w:val="32"/>
      <w:szCs w:val="32"/>
    </w:rPr>
  </w:style>
  <w:style w:type="paragraph" w:styleId="4">
    <w:name w:val="heading 2"/>
    <w:basedOn w:val="1"/>
    <w:next w:val="1"/>
    <w:unhideWhenUsed/>
    <w:qFormat/>
    <w:uiPriority w:val="0"/>
    <w:pPr>
      <w:adjustRightInd w:val="0"/>
      <w:snapToGrid w:val="0"/>
      <w:spacing w:line="360" w:lineRule="auto"/>
      <w:ind w:firstLine="640" w:firstLineChars="200"/>
      <w:outlineLvl w:val="1"/>
    </w:pPr>
    <w:rPr>
      <w:rFonts w:ascii="楷体" w:hAnsi="楷体" w:eastAsia="楷体" w:cs="仿宋"/>
      <w:sz w:val="32"/>
      <w:szCs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5">
    <w:name w:val="caption"/>
    <w:basedOn w:val="1"/>
    <w:next w:val="1"/>
    <w:semiHidden/>
    <w:unhideWhenUsed/>
    <w:qFormat/>
    <w:uiPriority w:val="0"/>
    <w:rPr>
      <w:rFonts w:ascii="Times New Roman" w:hAnsi="Times New Roman" w:eastAsia="黑体"/>
      <w:sz w:val="28"/>
      <w:szCs w:val="28"/>
    </w:rPr>
  </w:style>
  <w:style w:type="paragraph" w:styleId="6">
    <w:name w:val="annotation text"/>
    <w:basedOn w:val="1"/>
    <w:link w:val="2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qFormat/>
    <w:uiPriority w:val="0"/>
    <w:pPr>
      <w:snapToGrid w:val="0"/>
      <w:jc w:val="left"/>
    </w:pPr>
    <w:rPr>
      <w:sz w:val="18"/>
    </w:rPr>
  </w:style>
  <w:style w:type="paragraph" w:styleId="10">
    <w:name w:val="annotation subject"/>
    <w:basedOn w:val="6"/>
    <w:next w:val="6"/>
    <w:link w:val="22"/>
    <w:qFormat/>
    <w:uiPriority w:val="0"/>
    <w:rPr>
      <w:b/>
      <w:bCs/>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26E5" w:themeColor="hyperlink"/>
      <w:u w:val="single"/>
      <w14:textFill>
        <w14:solidFill>
          <w14:schemeClr w14:val="hlink"/>
        </w14:solidFill>
      </w14:textFill>
    </w:rPr>
  </w:style>
  <w:style w:type="character" w:styleId="16">
    <w:name w:val="annotation reference"/>
    <w:basedOn w:val="13"/>
    <w:qFormat/>
    <w:uiPriority w:val="0"/>
    <w:rPr>
      <w:sz w:val="21"/>
      <w:szCs w:val="21"/>
    </w:rPr>
  </w:style>
  <w:style w:type="character" w:styleId="17">
    <w:name w:val="footnote reference"/>
    <w:basedOn w:val="13"/>
    <w:qFormat/>
    <w:uiPriority w:val="0"/>
    <w:rPr>
      <w:vertAlign w:val="superscript"/>
    </w:rPr>
  </w:style>
  <w:style w:type="paragraph" w:customStyle="1" w:styleId="18">
    <w:name w:val="表1"/>
    <w:basedOn w:val="1"/>
    <w:qFormat/>
    <w:uiPriority w:val="0"/>
    <w:pPr>
      <w:wordWrap w:val="0"/>
      <w:jc w:val="center"/>
      <w:outlineLvl w:val="3"/>
    </w:pPr>
    <w:rPr>
      <w:rFonts w:ascii="Times New Roman" w:hAnsi="Times New Roman" w:eastAsia="黑体" w:cs="Times New Roman"/>
      <w:sz w:val="28"/>
      <w:szCs w:val="28"/>
    </w:rPr>
  </w:style>
  <w:style w:type="paragraph" w:customStyle="1" w:styleId="19">
    <w:name w:val="黑体三号"/>
    <w:basedOn w:val="1"/>
    <w:qFormat/>
    <w:uiPriority w:val="0"/>
    <w:pPr>
      <w:wordWrap w:val="0"/>
      <w:ind w:firstLine="640" w:firstLineChars="200"/>
      <w:outlineLvl w:val="0"/>
    </w:pPr>
    <w:rPr>
      <w:rFonts w:ascii="Times New Roman" w:hAnsi="Times New Roman" w:eastAsia="黑体" w:cs="Times New Roman"/>
      <w:sz w:val="32"/>
      <w:szCs w:val="32"/>
    </w:rPr>
  </w:style>
  <w:style w:type="paragraph" w:customStyle="1" w:styleId="2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1">
    <w:name w:val="Comment Text Char"/>
    <w:basedOn w:val="13"/>
    <w:link w:val="6"/>
    <w:qFormat/>
    <w:uiPriority w:val="0"/>
    <w:rPr>
      <w:rFonts w:asciiTheme="minorHAnsi" w:hAnsiTheme="minorHAnsi" w:eastAsiaTheme="minorEastAsia" w:cstheme="minorBidi"/>
      <w:kern w:val="2"/>
      <w:sz w:val="21"/>
      <w:szCs w:val="24"/>
    </w:rPr>
  </w:style>
  <w:style w:type="character" w:customStyle="1" w:styleId="22">
    <w:name w:val="Comment Subject Char"/>
    <w:basedOn w:val="21"/>
    <w:link w:val="10"/>
    <w:qFormat/>
    <w:uiPriority w:val="0"/>
    <w:rPr>
      <w:rFonts w:asciiTheme="minorHAnsi" w:hAnsiTheme="minorHAnsi" w:eastAsiaTheme="minorEastAsia" w:cstheme="minorBidi"/>
      <w:b/>
      <w:bCs/>
      <w:kern w:val="2"/>
      <w:sz w:val="21"/>
      <w:szCs w:val="24"/>
    </w:rPr>
  </w:style>
  <w:style w:type="paragraph" w:customStyle="1" w:styleId="23">
    <w:name w:val="Revision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4">
    <w:name w:val="修订2"/>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5">
    <w:name w:val="Revision2"/>
    <w:hidden/>
    <w:unhideWhenUsed/>
    <w:qFormat/>
    <w:uiPriority w:val="99"/>
    <w:rPr>
      <w:rFonts w:asciiTheme="minorHAnsi" w:hAnsiTheme="minorHAnsi" w:eastAsiaTheme="minorEastAsia" w:cstheme="minorBidi"/>
      <w:kern w:val="2"/>
      <w:sz w:val="21"/>
      <w:szCs w:val="24"/>
      <w:lang w:val="en-US" w:eastAsia="zh-CN" w:bidi="ar-SA"/>
    </w:rPr>
  </w:style>
  <w:style w:type="paragraph" w:styleId="26">
    <w:name w:val="List Paragraph"/>
    <w:basedOn w:val="1"/>
    <w:qFormat/>
    <w:uiPriority w:val="34"/>
    <w:pPr>
      <w:ind w:left="720"/>
      <w:contextualSpacing/>
    </w:pPr>
  </w:style>
  <w:style w:type="paragraph" w:customStyle="1" w:styleId="27">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8">
    <w:name w:val="Unresolved Mention"/>
    <w:basedOn w:val="13"/>
    <w:semiHidden/>
    <w:unhideWhenUsed/>
    <w:qFormat/>
    <w:uiPriority w:val="99"/>
    <w:rPr>
      <w:color w:val="605E5C"/>
      <w:shd w:val="clear" w:color="auto" w:fill="E1DFDD"/>
    </w:rPr>
  </w:style>
  <w:style w:type="character" w:customStyle="1" w:styleId="29">
    <w:name w:val="Mention"/>
    <w:basedOn w:val="13"/>
    <w:unhideWhenUsed/>
    <w:qFormat/>
    <w:uiPriority w:val="99"/>
    <w:rPr>
      <w:color w:val="2B579A"/>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1.xml"/><Relationship Id="rId2" Type="http://schemas.openxmlformats.org/officeDocument/2006/relationships/settings" Target="settings.xml"/><Relationship Id="rId19" Type="http://schemas.openxmlformats.org/officeDocument/2006/relationships/customXml" Target="../customXml/item10.xml"/><Relationship Id="rId18" Type="http://schemas.openxmlformats.org/officeDocument/2006/relationships/customXml" Target="../customXml/item9.xml"/><Relationship Id="rId17" Type="http://schemas.openxmlformats.org/officeDocument/2006/relationships/customXml" Target="../customXml/item8.xml"/><Relationship Id="rId16" Type="http://schemas.openxmlformats.org/officeDocument/2006/relationships/customXml" Target="../customXml/item7.xml"/><Relationship Id="rId15" Type="http://schemas.openxmlformats.org/officeDocument/2006/relationships/customXml" Target="../customXml/item6.xml"/><Relationship Id="rId14" Type="http://schemas.openxmlformats.org/officeDocument/2006/relationships/customXml" Target="../customXml/item5.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10.xml><?xml version="1.0" encoding="utf-8"?>
<?mso-contentType ?>
<SharedContentType xmlns="Microsoft.SharePoint.Taxonomy.ContentTypeSync" PreviousValue="false" SourceId="2a6c10d7-b926-4fc0-945e-3cbf5049f6bd" ContentTypeId="0x010100F4C63C3BD852AE468EAEFD0E6C57C64F02"/>
</file>

<file path=customXml/item11.xml><?xml version="1.0" encoding="utf-8"?>
<?mso-contentType ?>
<SharedContentType xmlns="Microsoft.SharePoint.Taxonomy.ContentTypeSync" PreviousValue="false" SourceId="2a6c10d7-b926-4fc0-945e-3cbf5049f6bd" ContentTypeId="0x010100F4C63C3BD852AE468EAEFD0E6C57C64F02"/>
</file>

<file path=customXml/item2.xml><?xml version="1.0" encoding="utf-8"?>
<?mso-contentType ?>
<spe:Receivers xmlns:spe="http://schemas.microsoft.com/sharepoint/events"/>
</file>

<file path=customXml/item3.xml><?xml version="1.0" encoding="utf-8"?>
<ct:contentTypeSchema xmlns:ct="http://schemas.microsoft.com/office/2006/metadata/contentType" _="" contentTypeName="WBDocument" contentTypeID="0x010100F4C63C3BD852AE468EAEFD0E6C57C64F02008C015598D0747D4283BB1F9D49ADADC6" contentTypeDescription="" contentTypeScope="" contentTypeVersion="21" versionID="793720ccac36104286da29796a69d008">
  <xsd:schema xmlns:xsd="http://www.w3.org/2001/XMLSchema" xmlns:ma="http://schemas.microsoft.com/office/2006/metadata/properties/metaAttributes" root="true" targetNamespace="http://schemas.microsoft.com/office/2006/metadata/properties" _="" ma:fieldsID="0b45970f5a227ce107450d300e422142">
    <xsd:import xmlns:xsd="http://www.w3.org/2001/XMLSchema" namespace="3e02667f-0271-471b-bd6e-11a2e16def1d"/>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minOccurs="0" ref="ns3:WBDocs_Document_Date"/>
                <xsd:element xmlns:xsd="http://www.w3.org/2001/XMLSchema" ref="ns3:WBDocs_Information_Classification"/>
                <xsd:element xmlns:xsd="http://www.w3.org/2001/XMLSchema" minOccurs="0" ref="ns3:TaxCatchAll"/>
                <xsd:element xmlns:xsd="http://www.w3.org/2001/XMLSchema" minOccurs="0" ref="ns3:TaxCatchAllLabel"/>
                <xsd:element xmlns:xsd="http://www.w3.org/2001/XMLSchema" minOccurs="0" ref="ns3:_dlc_DocId"/>
                <xsd:element xmlns:xsd="http://www.w3.org/2001/XMLSchema" minOccurs="0" ref="ns3:_dlc_DocIdUrl"/>
                <xsd:element xmlns:xsd="http://www.w3.org/2001/XMLSchema" minOccurs="0" ref="ns3:_dlc_DocIdPersistId"/>
                <xsd:element xmlns:xsd="http://www.w3.org/2001/XMLSchema" minOccurs="0" ref="ns3:WBDocs_Access_To_Info_Exception"/>
                <xsd:element xmlns:xsd="http://www.w3.org/2001/XMLSchema" minOccurs="0" ref="ns3:o1cb080a3dca4eb8a0fd03c7cc8bf8f7"/>
                <xsd:element xmlns:xsd="http://www.w3.org/2001/XMLSchema" minOccurs="0" ref="ns3:i008215bacac45029ee8cafff4c8e93b"/>
                <xsd:element xmlns:xsd="http://www.w3.org/2001/XMLSchema" minOccurs="0" ref="ns3:OneCMS_Subcategory"/>
                <xsd:element xmlns:xsd="http://www.w3.org/2001/XMLSchema" minOccurs="0" ref="ns3:OneCMS_Category"/>
                <xsd:element xmlns:xsd="http://www.w3.org/2001/XMLSchema" minOccurs="0" ref="ns3:Abstract"/>
              </xsd:all>
            </xsd:complexType>
          </xsd:element>
        </xsd:sequence>
      </xsd:complexType>
    </xsd:element>
  </xsd:schema>
  <xsd:schema xmlns:xsd="http://www.w3.org/2001/XMLSchema" targetNamespace="3e02667f-0271-471b-bd6e-11a2e16def1d"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nillable="true" format="DateTime" ma:displayName="Document Date" name="WBDocs_Document_Date" ma:index="3" ma:internalName="WBDocs_Document_Date" ma:default="[today]" ma:readOnly="false">
      <xsd:simpleType xmlns:xsd="http://www.w3.org/2001/XMLSchema">
        <xsd:restriction xmlns:xsd="http://www.w3.org/2001/XMLSchema" base="dms:DateTime"/>
      </xsd:simpleType>
    </xsd:element>
    <xsd:element xmlns:xsd="http://www.w3.org/2001/XMLSchema" xmlns:ma="http://schemas.microsoft.com/office/2006/metadata/properties/metaAttributes" format="Dropdown" ma:displayName="Information Classification" name="WBDocs_Information_Classification" ma:index="4" ma:internalName="WBDocs_Information_Classification" ma:default="Official Use Only" ma:readOnly="false">
      <xsd:simpleType xmlns:xsd="http://www.w3.org/2001/XMLSchema">
        <xsd:restriction xmlns:xsd="http://www.w3.org/2001/XMLSchema" base="dms:Choice">
          <xsd:enumeration xmlns:xsd="http://www.w3.org/2001/XMLSchema" value="Public"/>
          <xsd:enumeration xmlns:xsd="http://www.w3.org/2001/XMLSchema" value="Official Use Only"/>
          <xsd:enumeration xmlns:xsd="http://www.w3.org/2001/XMLSchema" value="Confidential"/>
          <xsd:enumeration xmlns:xsd="http://www.w3.org/2001/XMLSchema" value="Strictly Confidential"/>
        </xsd:restriction>
      </xsd:simpleType>
    </xsd:element>
    <xsd:element xmlns:xsd="http://www.w3.org/2001/XMLSchema" xmlns:ma="http://schemas.microsoft.com/office/2006/metadata/properties/metaAttributes" nillable="true" ma:displayName="Taxonomy Catch All Column" name="TaxCatchAll" ma:hidden="true" ma:index="6" ma:internalName="TaxCatchAll" ma:list="{16aa8994-a05b-49f1-92e2-ade3831271c5}" web="55412a85-6e69-42a4-8c20-5128caeef093" ma:showField="CatchAllData">
      <xsd:complexType xmlns:xsd="http://www.w3.org/2001/XMLSchema">
        <xsd:complexContent xmlns:xsd="http://www.w3.org/2001/XMLSchema">
          <xsd:extension xmlns:xsd="http://www.w3.org/2001/XMLSchema" base="dms:MultiChoiceLookup">
            <xsd:sequence xmlns:xsd="http://www.w3.org/2001/XMLSchema">
              <xsd:element xmlns:xsd="http://www.w3.org/2001/XMLSchema" nillable="true" type="dms:Lookup" maxOccurs="unbounded" minOccurs="0" name="Value"/>
            </xsd:sequence>
          </xsd:extension>
        </xsd:complexContent>
      </xsd:complexType>
    </xsd:element>
    <xsd:element xmlns:xsd="http://www.w3.org/2001/XMLSchema" xmlns:ma="http://schemas.microsoft.com/office/2006/metadata/properties/metaAttributes" nillable="true" ma:displayName="Taxonomy Catch All Column1" name="TaxCatchAllLabel" ma:hidden="true" ma:index="7" ma:internalName="TaxCatchAllLabel" ma:list="{16aa8994-a05b-49f1-92e2-ade3831271c5}" ma:readOnly="true" web="55412a85-6e69-42a4-8c20-5128caeef093" ma:showField="CatchAllDataLabel">
      <xsd:complexType xmlns:xsd="http://www.w3.org/2001/XMLSchema">
        <xsd:complexContent xmlns:xsd="http://www.w3.org/2001/XMLSchema">
          <xsd:extension xmlns:xsd="http://www.w3.org/2001/XMLSchema" base="dms:MultiChoiceLookup">
            <xsd:sequence xmlns:xsd="http://www.w3.org/2001/XMLSchema">
              <xsd:element xmlns:xsd="http://www.w3.org/2001/XMLSchema" nillable="true" type="dms:Lookup" maxOccurs="unbounded" minOccurs="0" name="Value"/>
            </xsd:sequence>
          </xsd:extension>
        </xsd:complexContent>
      </xsd:complexType>
    </xsd:element>
    <xsd:element xmlns:xsd="http://www.w3.org/2001/XMLSchema" xmlns:ma="http://schemas.microsoft.com/office/2006/metadata/properties/metaAttributes" nillable="true" displayName="Document ID Value" ma:description="The value of the document ID assigned to this item." name="_dlc_DocId" ma:index="10" ma:internalName="_dlc_DocId" ma:readOnly="true">
      <xsd:simpleType xmlns:xsd="http://www.w3.org/2001/XMLSchema">
        <xsd:restriction xmlns:xsd="http://www.w3.org/2001/XMLSchema" base="dms:Text"/>
      </xsd:simpleType>
    </xsd:element>
    <xsd:element xmlns:xsd="http://www.w3.org/2001/XMLSchema" xmlns:ma="http://schemas.microsoft.com/office/2006/metadata/properties/metaAttributes" nillable="true" ma:displayName="Document ID" ma:description="Permanent link to this document." name="_dlc_DocIdUrl" hidden="true" ma:index="11" ma:internalName="_dlc_DocIdUrl" ma:readOnly="true">
      <xsd:complexType xmlns:xsd="http://www.w3.org/2001/XMLSchema">
        <xsd:complexContent xmlns:xsd="http://www.w3.org/2001/XMLSchema">
          <xsd:extension xmlns:xsd="http://www.w3.org/2001/XMLSchema" base="dms:URL">
            <xsd:sequence xmlns:xsd="http://www.w3.org/2001/XMLSchema">
              <xsd:element xmlns:xsd="http://www.w3.org/2001/XMLSchema" nillable="true" type="dms:ValidUrl" minOccurs="0" name="Url"/>
              <xsd:element xmlns:xsd="http://www.w3.org/2001/XMLSchema" nillable="true" type="xsd:string" name="Description"/>
            </xsd:sequence>
          </xsd:extension>
        </xsd:complexContent>
      </xsd:complexType>
    </xsd:element>
    <xsd:element xmlns:xsd="http://www.w3.org/2001/XMLSchema" xmlns:ma="http://schemas.microsoft.com/office/2006/metadata/properties/metaAttributes" nillable="true" ma:displayName="Persist ID" ma:description="Keep ID on add." name="_dlc_DocIdPersistId" hidden="true" ma:index="12" ma:internalName="_dlc_DocIdPersistId" ma:readOnly="true">
      <xsd:simpleType xmlns:xsd="http://www.w3.org/2001/XMLSchema">
        <xsd:restriction xmlns:xsd="http://www.w3.org/2001/XMLSchema" base="dms:Boolean"/>
      </xsd:simpleType>
    </xsd:element>
    <xsd:element xmlns:xsd="http://www.w3.org/2001/XMLSchema" xmlns:ma="http://schemas.microsoft.com/office/2006/metadata/properties/metaAttributes" nillable="true" format="Dropdown" ma:displayName="Access to Info Exception" name="WBDocs_Access_To_Info_Exception" ma:index="13" ma:internalName="WBDocs_Access_To_Info_Exception" ma:default="12. Not Assessed">
      <xsd:simpleType xmlns:xsd="http://www.w3.org/2001/XMLSchema">
        <xsd:restriction xmlns:xsd="http://www.w3.org/2001/XMLSchema" base="dms:Choice">
          <xsd:enumeration xmlns:xsd="http://www.w3.org/2001/XMLSchema" value="1. Personal"/>
          <xsd:enumeration xmlns:xsd="http://www.w3.org/2001/XMLSchema" value="2. Executive Director's Communications"/>
          <xsd:enumeration xmlns:xsd="http://www.w3.org/2001/XMLSchema" value="3. Board Ethics Committee"/>
          <xsd:enumeration xmlns:xsd="http://www.w3.org/2001/XMLSchema" value="4. Attorney-Client Privilege"/>
          <xsd:enumeration xmlns:xsd="http://www.w3.org/2001/XMLSchema" value="5. Security &amp; Safety"/>
          <xsd:enumeration xmlns:xsd="http://www.w3.org/2001/XMLSchema" value="6. Other Disclosure Regimes"/>
          <xsd:enumeration xmlns:xsd="http://www.w3.org/2001/XMLSchema" value="7. Client / Third Party Confidence"/>
          <xsd:enumeration xmlns:xsd="http://www.w3.org/2001/XMLSchema" value="8. Corporate/Administrative"/>
          <xsd:enumeration xmlns:xsd="http://www.w3.org/2001/XMLSchema" value="9. Deliberative"/>
          <xsd:enumeration xmlns:xsd="http://www.w3.org/2001/XMLSchema" value="10a-c. Financial - Forecast/Analysis/Transactions"/>
          <xsd:enumeration xmlns:xsd="http://www.w3.org/2001/XMLSchema" value="10d. Financial - Banking &amp; Billing"/>
          <xsd:enumeration xmlns:xsd="http://www.w3.org/2001/XMLSchema" value="11. Bank's Prerogative to Restrict"/>
          <xsd:enumeration xmlns:xsd="http://www.w3.org/2001/XMLSchema" value="12. Not Assessed"/>
          <xsd:enumeration xmlns:xsd="http://www.w3.org/2001/XMLSchema" value="13. Not Applicable"/>
          <xsd:enumeration xmlns:xsd="http://www.w3.org/2001/XMLSchema" value="Unknown Policy Restriction"/>
        </xsd:restriction>
      </xsd:simpleType>
    </xsd:element>
    <xsd:element xmlns:xsd="http://www.w3.org/2001/XMLSchema" xmlns:ma="http://schemas.microsoft.com/office/2006/metadata/properties/metaAttributes" nillable="true" ma:isKeyword="false" fieldId="{81cb080a-3dca-4eb8-a0fd-03c7cc8bf8f7}" ma:sspId="2a6c10d7-b926-4fc0-945e-3cbf5049f6bd" ma:displayName="Local Document Type" ma:termSetId="ec380048-e675-43f7-9194-41567bcb0af6" name="o1cb080a3dca4eb8a0fd03c7cc8bf8f7" ma:taxonomyFieldName="WBDocs_Local_Document_Type" ma:index="15" ma:internalName="o1cb080a3dca4eb8a0fd03c7cc8bf8f7" ma:default="" ma:anchorId="00000000-0000-0000-0000-000000000000" ma:readOnly="false" ma:open="false" ma:taxonomyMulti="true" ma:taxonomy="true">
      <xsd:complexType xmlns:xsd="http://www.w3.org/2001/XMLSchema">
        <xsd:sequence xmlns:xsd="http://www.w3.org/2001/XMLSchema">
          <xsd:element xmlns:xsd="http://www.w3.org/2001/XMLSchema" maxOccurs="1" minOccurs="0" ref="pc:Terms"/>
        </xsd:sequence>
      </xsd:complexType>
    </xsd:element>
    <xsd:element xmlns:xsd="http://www.w3.org/2001/XMLSchema" xmlns:ma="http://schemas.microsoft.com/office/2006/metadata/properties/metaAttributes" nillable="true" ma:isKeyword="false" fieldId="{2008215b-acac-4502-9ee8-cafff4c8e93b}" ma:sspId="2a6c10d7-b926-4fc0-945e-3cbf5049f6bd" ma:displayName="Originating unit" ma:termSetId="806c0147-d557-463e-8bb0-983f4f318bd5" name="i008215bacac45029ee8cafff4c8e93b" ma:taxonomyFieldName="WBDocs_Originating_Unit" ma:index="17" ma:internalName="i008215bacac45029ee8cafff4c8e93b" ma:default="5;#EACCF - WB Off: Beijing|2435c311-dfa9-4ae1-8e70-c51f57abf81a" ma:anchorId="00000000-0000-0000-0000-000000000000" ma:readOnly="false" ma:open="false" ma:taxonomyMulti="true" ma:taxonomy="true">
      <xsd:complexType xmlns:xsd="http://www.w3.org/2001/XMLSchema">
        <xsd:sequence xmlns:xsd="http://www.w3.org/2001/XMLSchema">
          <xsd:element xmlns:xsd="http://www.w3.org/2001/XMLSchema" maxOccurs="1" minOccurs="0" ref="pc:Terms"/>
        </xsd:sequence>
      </xsd:complexType>
    </xsd:element>
    <xsd:element xmlns:xsd="http://www.w3.org/2001/XMLSchema" xmlns:ma="http://schemas.microsoft.com/office/2006/metadata/properties/metaAttributes" nillable="true" ma:displayName="Subcategory" name="OneCMS_Subcategory" hidden="true" ma:index="21" ma:internalName="OneCMS_Subcategory" ma:readOnly="false">
      <xsd:simpleType xmlns:xsd="http://www.w3.org/2001/XMLSchema">
        <xsd:restriction xmlns:xsd="http://www.w3.org/2001/XMLSchema" base="dms:Text"/>
      </xsd:simpleType>
    </xsd:element>
    <xsd:element xmlns:xsd="http://www.w3.org/2001/XMLSchema" xmlns:ma="http://schemas.microsoft.com/office/2006/metadata/properties/metaAttributes" nillable="true" ma:displayName="Category" name="OneCMS_Category" hidden="true" ma:index="22" ma:internalName="OneCMS_Category" ma:readOnly="false">
      <xsd:simpleType xmlns:xsd="http://www.w3.org/2001/XMLSchema">
        <xsd:restriction xmlns:xsd="http://www.w3.org/2001/XMLSchema" base="dms:Text"/>
      </xsd:simpleType>
    </xsd:element>
    <xsd:element xmlns:xsd="http://www.w3.org/2001/XMLSchema" xmlns:ma="http://schemas.microsoft.com/office/2006/metadata/properties/metaAttributes" nillable="true" ma:displayName="Abstract" name="Abstract" hidden="true" ma:index="23" ma:internalName="Abstract" ma:readOnly="false">
      <xsd:simpleType xmlns:xsd="http://www.w3.org/2001/XMLSchema">
        <xsd:restriction xmlns:xsd="http://www.w3.org/2001/XMLSchema" base="dms:Note"/>
      </xsd:simpleType>
    </xsd:element>
  </xsd:schema>
  <xsd:schema xmlns:xsd="http://www.w3.org/2001/XMLSchema" targetNamespace="http://schemas.openxmlformats.org/package/2006/metadata/core-properties" elementFormDefault="qualified" attributeFormDefault="unqualified" blockDefault="#all">
    <xsd:import xmlns:xsd="http://www.w3.org/2001/XMLSchema" schemaLocation="http://dublincore.org/schemas/xmls/qdc/2003/04/02/dc.xsd" namespace="http://purl.org/dc/elements/1.1/"/>
    <xsd:import xmlns:xsd="http://www.w3.org/2001/XMLSchema" schemaLocation="http://dublincore.org/schemas/xmls/qdc/2003/04/02/dcterms.xsd" namespace="http://purl.org/dc/terms/"/>
    <xsd:element xmlns:xsd="http://www.w3.org/2001/XMLSchema" type="CT_coreProperties" name="coreProperties"/>
    <xsd:complexType xmlns:xsd="http://www.w3.org/2001/XMLSchema" name="CT_coreProperties">
      <xsd:all xmlns:xsd="http://www.w3.org/2001/XMLSchema">
        <xsd:element xmlns:xsd="http://www.w3.org/2001/XMLSchema" xmlns:ma="http://schemas.microsoft.com/office/2006/metadata/properties/metaAttributes" maxOccurs="1" displayName="Author" minOccurs="0" ref="dc:creator" ma:index="2"/>
        <xsd:element xmlns:xsd="http://www.w3.org/2001/XMLSchema" maxOccurs="1" minOccurs="0" ref="dcterms:created"/>
        <xsd:element xmlns:xsd="http://www.w3.org/2001/XMLSchema" maxOccurs="1" minOccurs="0" ref="dc:identifier"/>
        <xsd:element xmlns:xsd="http://www.w3.org/2001/XMLSchema" xmlns:ma="http://schemas.microsoft.com/office/2006/metadata/properties/metaAttributes" type="xsd:string" maxOccurs="1" displayName="Content Type" minOccurs="0" name="contentType" ma:index="19"/>
        <xsd:element xmlns:xsd="http://www.w3.org/2001/XMLSchema" xmlns:ma="http://schemas.microsoft.com/office/2006/metadata/properties/metaAttributes" maxOccurs="1" displayName="Title" minOccurs="0" ref="dc:title" ma:index="1"/>
        <xsd:element xmlns:xsd="http://www.w3.org/2001/XMLSchema" maxOccurs="1" minOccurs="0" ref="dc:subject"/>
        <xsd:element xmlns:xsd="http://www.w3.org/2001/XMLSchema" maxOccurs="1" minOccurs="0" ref="dc:description"/>
        <xsd:element xmlns:xsd="http://www.w3.org/2001/XMLSchema" type="xsd:string" maxOccurs="1" minOccurs="0" name="keywords"/>
        <xsd:element xmlns:xsd="http://www.w3.org/2001/XMLSchema" maxOccurs="1" minOccurs="0" ref="dc:language"/>
        <xsd:element xmlns:xsd="http://www.w3.org/2001/XMLSchema" type="xsd:string" maxOccurs="1" minOccurs="0" name="category"/>
        <xsd:element xmlns:xsd="http://www.w3.org/2001/XMLSchema" type="xsd:string" maxOccurs="1" minOccurs="0" name="version"/>
        <xsd:element xmlns:xsd="http://www.w3.org/2001/XMLSchema" type="xsd:string" maxOccurs="1" minOccurs="0" name="revision">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type="xsd:string" maxOccurs="1" minOccurs="0" name="lastModifiedBy"/>
        <xsd:element xmlns:xsd="http://www.w3.org/2001/XMLSchema" maxOccurs="1" minOccurs="0" ref="dcterms:modified"/>
        <xsd:element xmlns:xsd="http://www.w3.org/2001/XMLSchema" type="xsd:string" maxOccurs="1" minOccurs="0" name="contentStatus"/>
      </xsd:all>
    </xsd:complexType>
  </xsd:schema>
  <xs:schema xmlns:xs="http://www.w3.org/2001/XMLSchema" targetNamespace="http://schemas.microsoft.com/office/infopath/2007/PartnerControls" elementFormDefault="qualified" attributeFormDefault="unqualified">
    <xs:element xmlns:xs="http://www.w3.org/2001/XMLSchema" name="Person">
      <xs:complexType xmlns:xs="http://www.w3.org/2001/XMLSchema">
        <xs:sequence xmlns:xs="http://www.w3.org/2001/XMLSchema">
          <xs:element xmlns:xs="http://www.w3.org/2001/XMLSchema" minOccurs="0" ref="pc:DisplayName"/>
          <xs:element xmlns:xs="http://www.w3.org/2001/XMLSchema" minOccurs="0" ref="pc:AccountId"/>
          <xs:element xmlns:xs="http://www.w3.org/2001/XMLSchema" minOccurs="0" ref="pc:AccountType"/>
        </xs:sequence>
      </xs:complexType>
    </xs:element>
    <xs:element xmlns:xs="http://www.w3.org/2001/XMLSchema" type="xs:string" name="DisplayName"/>
    <xs:element xmlns:xs="http://www.w3.org/2001/XMLSchema" type="xs:string" name="AccountId"/>
    <xs:element xmlns:xs="http://www.w3.org/2001/XMLSchema" type="xs:string" name="AccountType"/>
    <xs:element xmlns:xs="http://www.w3.org/2001/XMLSchema" name="BDCAssociatedEntity">
      <xs:complexType xmlns:xs="http://www.w3.org/2001/XMLSchema">
        <xs:sequence xmlns:xs="http://www.w3.org/2001/XMLSchema">
          <xs:element xmlns:xs="http://www.w3.org/2001/XMLSchema" maxOccurs="unbounded" minOccurs="0" ref="pc:BDCEntity"/>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type="xs:string" name="EntityNamespace"/>
    <xs:attribute xmlns:xs="http://www.w3.org/2001/XMLSchema" type="xs:string" name="EntityName"/>
    <xs:attribute xmlns:xs="http://www.w3.org/2001/XMLSchema" type="xs:string" name="SystemInstanceName"/>
    <xs:attribute xmlns:xs="http://www.w3.org/2001/XMLSchema" type="xs:string" name="AssociationName"/>
    <xs:element xmlns:xs="http://www.w3.org/2001/XMLSchema" name="BDCEntity">
      <xs:complexType xmlns:xs="http://www.w3.org/2001/XMLSchema">
        <xs:sequence xmlns:xs="http://www.w3.org/2001/XMLSchema">
          <xs:element xmlns:xs="http://www.w3.org/2001/XMLSchema" minOccurs="0" ref="pc:EntityDisplayName"/>
          <xs:element xmlns:xs="http://www.w3.org/2001/XMLSchema" minOccurs="0" ref="pc:EntityInstanceReference"/>
          <xs:element xmlns:xs="http://www.w3.org/2001/XMLSchema" minOccurs="0" ref="pc:EntityId1"/>
          <xs:element xmlns:xs="http://www.w3.org/2001/XMLSchema" minOccurs="0" ref="pc:EntityId2"/>
          <xs:element xmlns:xs="http://www.w3.org/2001/XMLSchema" minOccurs="0" ref="pc:EntityId3"/>
          <xs:element xmlns:xs="http://www.w3.org/2001/XMLSchema" minOccurs="0" ref="pc:EntityId4"/>
          <xs:element xmlns:xs="http://www.w3.org/2001/XMLSchema" minOccurs="0" ref="pc:EntityId5"/>
        </xs:sequence>
      </xs:complexType>
    </xs:element>
    <xs:element xmlns:xs="http://www.w3.org/2001/XMLSchema" type="xs:string" name="EntityDisplayName"/>
    <xs:element xmlns:xs="http://www.w3.org/2001/XMLSchema" type="xs:string" name="EntityInstanceReference"/>
    <xs:element xmlns:xs="http://www.w3.org/2001/XMLSchema" type="xs:string" name="EntityId1"/>
    <xs:element xmlns:xs="http://www.w3.org/2001/XMLSchema" type="xs:string" name="EntityId2"/>
    <xs:element xmlns:xs="http://www.w3.org/2001/XMLSchema" type="xs:string" name="EntityId3"/>
    <xs:element xmlns:xs="http://www.w3.org/2001/XMLSchema" type="xs:string" name="EntityId4"/>
    <xs:element xmlns:xs="http://www.w3.org/2001/XMLSchema" type="xs:string" name="EntityId5"/>
    <xs:element xmlns:xs="http://www.w3.org/2001/XMLSchema" name="Terms">
      <xs:complexType xmlns:xs="http://www.w3.org/2001/XMLSchema">
        <xs:sequence xmlns:xs="http://www.w3.org/2001/XMLSchema">
          <xs:element xmlns:xs="http://www.w3.org/2001/XMLSchema" maxOccurs="unbounded" minOccurs="0" ref="pc:TermInfo"/>
        </xs:sequence>
      </xs:complexType>
    </xs:element>
    <xs:element xmlns:xs="http://www.w3.org/2001/XMLSchema" name="TermInfo">
      <xs:complexType xmlns:xs="http://www.w3.org/2001/XMLSchema">
        <xs:sequence xmlns:xs="http://www.w3.org/2001/XMLSchema">
          <xs:element xmlns:xs="http://www.w3.org/2001/XMLSchema" minOccurs="0" ref="pc:TermName"/>
          <xs:element xmlns:xs="http://www.w3.org/2001/XMLSchema" minOccurs="0" ref="pc:TermId"/>
        </xs:sequence>
      </xs:complexType>
    </xs:element>
    <xs:element xmlns:xs="http://www.w3.org/2001/XMLSchema" type="xs:string" name="TermName"/>
    <xs:element xmlns:xs="http://www.w3.org/2001/XMLSchema" type="xs:string" name="TermId"/>
  </xs:schema>
</ct:contentTypeSchema>
</file>

<file path=customXml/item4.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5.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6.xml><?xml version="1.0" encoding="utf-8"?>
<?mso-contentType ?>
<spe:Receivers xmlns:spe="http://schemas.microsoft.com/sharepoint/events"/>
</file>

<file path=customXml/item7.xml><?xml version="1.0" encoding="utf-8"?>
<p:properties xmlns:p="http://schemas.microsoft.com/office/2006/metadata/properties" xmlns:pc="http://schemas.microsoft.com/office/infopath/2007/PartnerControls" xmlns:xsi="http://www.w3.org/2001/XMLSchema-instance">
  <documentManagement>
    <o1cb080a3dca4eb8a0fd03c7cc8bf8f7 xmlns="3e02667f-0271-471b-bd6e-11a2e16def1d">
      <Terms xmlns="http://schemas.microsoft.com/office/infopath/2007/PartnerControls"/>
    </o1cb080a3dca4eb8a0fd03c7cc8bf8f7>
    <Abstract xmlns="3e02667f-0271-471b-bd6e-11a2e16def1d" xmlns:xsi="http://www.w3.org/2001/XMLSchema-instance" xsi:nil="true"/>
    <WBDocs_Access_To_Info_Exception xmlns="3e02667f-0271-471b-bd6e-11a2e16def1d">12. Not Assessed</WBDocs_Access_To_Info_Exception>
    <WBDocs_Document_Date xmlns="3e02667f-0271-471b-bd6e-11a2e16def1d">2026-05-12T09:20:26+00:00</WBDocs_Document_Date>
    <TaxCatchAll xmlns="3e02667f-0271-471b-bd6e-11a2e16def1d">
      <Value xmlns="3e02667f-0271-471b-bd6e-11a2e16def1d">5</Value>
    </TaxCatchAll>
    <OneCMS_Subcategory xmlns="3e02667f-0271-471b-bd6e-11a2e16def1d" xmlns:xsi="http://www.w3.org/2001/XMLSchema-instance"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EACCF - WB Off: Beijing</TermName>
          <TermId xmlns="http://schemas.microsoft.com/office/infopath/2007/PartnerControls">2435c311-dfa9-4ae1-8e70-c51f57abf81a</TermId>
        </TermInfo>
      </Terms>
    </i008215bacac45029ee8cafff4c8e93b>
    <WBDocs_Information_Classification xmlns="3e02667f-0271-471b-bd6e-11a2e16def1d">Official Use Only</WBDocs_Information_Classification>
    <OneCMS_Category xmlns="3e02667f-0271-471b-bd6e-11a2e16def1d" xmlns:xsi="http://www.w3.org/2001/XMLSchema-instance" xsi:nil="true"/>
  </documentManagement>
</p:properties>
</file>

<file path=customXml/item8.xml><?xml version="1.0" encoding="utf-8"?>
<ct:contentTypeSchema xmlns:ct="http://schemas.microsoft.com/office/2006/metadata/contentType" _="" contentTypeName="WBDocument" contentTypeID="0x010100F4C63C3BD852AE468EAEFD0E6C57C64F02008C015598D0747D4283BB1F9D49ADADC6" contentTypeDescription="" contentTypeScope="" contentTypeVersion="21" versionID="793720ccac36104286da29796a69d008">
  <xsd:schema xmlns:xsd="http://www.w3.org/2001/XMLSchema" xmlns:ma="http://schemas.microsoft.com/office/2006/metadata/properties/metaAttributes" root="true" targetNamespace="http://schemas.microsoft.com/office/2006/metadata/properties" _="" ma:fieldsID="0b45970f5a227ce107450d300e422142">
    <xsd:import xmlns:xsd="http://www.w3.org/2001/XMLSchema" namespace="3e02667f-0271-471b-bd6e-11a2e16def1d"/>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minOccurs="0" ref="ns3:WBDocs_Document_Date"/>
                <xsd:element xmlns:xsd="http://www.w3.org/2001/XMLSchema" ref="ns3:WBDocs_Information_Classification"/>
                <xsd:element xmlns:xsd="http://www.w3.org/2001/XMLSchema" minOccurs="0" ref="ns3:TaxCatchAll"/>
                <xsd:element xmlns:xsd="http://www.w3.org/2001/XMLSchema" minOccurs="0" ref="ns3:TaxCatchAllLabel"/>
                <xsd:element xmlns:xsd="http://www.w3.org/2001/XMLSchema" minOccurs="0" ref="ns3:_dlc_DocId"/>
                <xsd:element xmlns:xsd="http://www.w3.org/2001/XMLSchema" minOccurs="0" ref="ns3:_dlc_DocIdUrl"/>
                <xsd:element xmlns:xsd="http://www.w3.org/2001/XMLSchema" minOccurs="0" ref="ns3:_dlc_DocIdPersistId"/>
                <xsd:element xmlns:xsd="http://www.w3.org/2001/XMLSchema" minOccurs="0" ref="ns3:WBDocs_Access_To_Info_Exception"/>
                <xsd:element xmlns:xsd="http://www.w3.org/2001/XMLSchema" minOccurs="0" ref="ns3:o1cb080a3dca4eb8a0fd03c7cc8bf8f7"/>
                <xsd:element xmlns:xsd="http://www.w3.org/2001/XMLSchema" minOccurs="0" ref="ns3:i008215bacac45029ee8cafff4c8e93b"/>
                <xsd:element xmlns:xsd="http://www.w3.org/2001/XMLSchema" minOccurs="0" ref="ns3:OneCMS_Subcategory"/>
                <xsd:element xmlns:xsd="http://www.w3.org/2001/XMLSchema" minOccurs="0" ref="ns3:OneCMS_Category"/>
                <xsd:element xmlns:xsd="http://www.w3.org/2001/XMLSchema" minOccurs="0" ref="ns3:Abstract"/>
              </xsd:all>
            </xsd:complexType>
          </xsd:element>
        </xsd:sequence>
      </xsd:complexType>
    </xsd:element>
  </xsd:schema>
  <xsd:schema xmlns:xsd="http://www.w3.org/2001/XMLSchema" targetNamespace="3e02667f-0271-471b-bd6e-11a2e16def1d"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nillable="true" format="DateTime" ma:displayName="Document Date" name="WBDocs_Document_Date" ma:index="3" ma:internalName="WBDocs_Document_Date" ma:default="[today]" ma:readOnly="false">
      <xsd:simpleType xmlns:xsd="http://www.w3.org/2001/XMLSchema">
        <xsd:restriction xmlns:xsd="http://www.w3.org/2001/XMLSchema" base="dms:DateTime"/>
      </xsd:simpleType>
    </xsd:element>
    <xsd:element xmlns:xsd="http://www.w3.org/2001/XMLSchema" xmlns:ma="http://schemas.microsoft.com/office/2006/metadata/properties/metaAttributes" format="Dropdown" ma:displayName="Information Classification" name="WBDocs_Information_Classification" ma:index="4" ma:internalName="WBDocs_Information_Classification" ma:default="Official Use Only" ma:readOnly="false">
      <xsd:simpleType xmlns:xsd="http://www.w3.org/2001/XMLSchema">
        <xsd:restriction xmlns:xsd="http://www.w3.org/2001/XMLSchema" base="dms:Choice">
          <xsd:enumeration xmlns:xsd="http://www.w3.org/2001/XMLSchema" value="Public"/>
          <xsd:enumeration xmlns:xsd="http://www.w3.org/2001/XMLSchema" value="Official Use Only"/>
          <xsd:enumeration xmlns:xsd="http://www.w3.org/2001/XMLSchema" value="Confidential"/>
          <xsd:enumeration xmlns:xsd="http://www.w3.org/2001/XMLSchema" value="Strictly Confidential"/>
        </xsd:restriction>
      </xsd:simpleType>
    </xsd:element>
    <xsd:element xmlns:xsd="http://www.w3.org/2001/XMLSchema" xmlns:ma="http://schemas.microsoft.com/office/2006/metadata/properties/metaAttributes" nillable="true" ma:displayName="Taxonomy Catch All Column" name="TaxCatchAll" ma:hidden="true" ma:index="6" ma:internalName="TaxCatchAll" ma:list="{16aa8994-a05b-49f1-92e2-ade3831271c5}" web="55412a85-6e69-42a4-8c20-5128caeef093" ma:showField="CatchAllData">
      <xsd:complexType xmlns:xsd="http://www.w3.org/2001/XMLSchema">
        <xsd:complexContent xmlns:xsd="http://www.w3.org/2001/XMLSchema">
          <xsd:extension xmlns:xsd="http://www.w3.org/2001/XMLSchema" base="dms:MultiChoiceLookup">
            <xsd:sequence xmlns:xsd="http://www.w3.org/2001/XMLSchema">
              <xsd:element xmlns:xsd="http://www.w3.org/2001/XMLSchema" nillable="true" type="dms:Lookup" maxOccurs="unbounded" minOccurs="0" name="Value"/>
            </xsd:sequence>
          </xsd:extension>
        </xsd:complexContent>
      </xsd:complexType>
    </xsd:element>
    <xsd:element xmlns:xsd="http://www.w3.org/2001/XMLSchema" xmlns:ma="http://schemas.microsoft.com/office/2006/metadata/properties/metaAttributes" nillable="true" ma:displayName="Taxonomy Catch All Column1" name="TaxCatchAllLabel" ma:hidden="true" ma:index="7" ma:internalName="TaxCatchAllLabel" ma:list="{16aa8994-a05b-49f1-92e2-ade3831271c5}" ma:readOnly="true" web="55412a85-6e69-42a4-8c20-5128caeef093" ma:showField="CatchAllDataLabel">
      <xsd:complexType xmlns:xsd="http://www.w3.org/2001/XMLSchema">
        <xsd:complexContent xmlns:xsd="http://www.w3.org/2001/XMLSchema">
          <xsd:extension xmlns:xsd="http://www.w3.org/2001/XMLSchema" base="dms:MultiChoiceLookup">
            <xsd:sequence xmlns:xsd="http://www.w3.org/2001/XMLSchema">
              <xsd:element xmlns:xsd="http://www.w3.org/2001/XMLSchema" nillable="true" type="dms:Lookup" maxOccurs="unbounded" minOccurs="0" name="Value"/>
            </xsd:sequence>
          </xsd:extension>
        </xsd:complexContent>
      </xsd:complexType>
    </xsd:element>
    <xsd:element xmlns:xsd="http://www.w3.org/2001/XMLSchema" xmlns:ma="http://schemas.microsoft.com/office/2006/metadata/properties/metaAttributes" nillable="true" displayName="Document ID Value" ma:description="The value of the document ID assigned to this item." name="_dlc_DocId" ma:index="10" ma:internalName="_dlc_DocId" ma:readOnly="true">
      <xsd:simpleType xmlns:xsd="http://www.w3.org/2001/XMLSchema">
        <xsd:restriction xmlns:xsd="http://www.w3.org/2001/XMLSchema" base="dms:Text"/>
      </xsd:simpleType>
    </xsd:element>
    <xsd:element xmlns:xsd="http://www.w3.org/2001/XMLSchema" xmlns:ma="http://schemas.microsoft.com/office/2006/metadata/properties/metaAttributes" nillable="true" ma:displayName="Document ID" ma:description="Permanent link to this document." name="_dlc_DocIdUrl" hidden="true" ma:index="11" ma:internalName="_dlc_DocIdUrl" ma:readOnly="true">
      <xsd:complexType xmlns:xsd="http://www.w3.org/2001/XMLSchema">
        <xsd:complexContent xmlns:xsd="http://www.w3.org/2001/XMLSchema">
          <xsd:extension xmlns:xsd="http://www.w3.org/2001/XMLSchema" base="dms:URL">
            <xsd:sequence xmlns:xsd="http://www.w3.org/2001/XMLSchema">
              <xsd:element xmlns:xsd="http://www.w3.org/2001/XMLSchema" nillable="true" type="dms:ValidUrl" minOccurs="0" name="Url"/>
              <xsd:element xmlns:xsd="http://www.w3.org/2001/XMLSchema" nillable="true" type="xsd:string" name="Description"/>
            </xsd:sequence>
          </xsd:extension>
        </xsd:complexContent>
      </xsd:complexType>
    </xsd:element>
    <xsd:element xmlns:xsd="http://www.w3.org/2001/XMLSchema" xmlns:ma="http://schemas.microsoft.com/office/2006/metadata/properties/metaAttributes" nillable="true" ma:displayName="Persist ID" ma:description="Keep ID on add." name="_dlc_DocIdPersistId" hidden="true" ma:index="12" ma:internalName="_dlc_DocIdPersistId" ma:readOnly="true">
      <xsd:simpleType xmlns:xsd="http://www.w3.org/2001/XMLSchema">
        <xsd:restriction xmlns:xsd="http://www.w3.org/2001/XMLSchema" base="dms:Boolean"/>
      </xsd:simpleType>
    </xsd:element>
    <xsd:element xmlns:xsd="http://www.w3.org/2001/XMLSchema" xmlns:ma="http://schemas.microsoft.com/office/2006/metadata/properties/metaAttributes" nillable="true" format="Dropdown" ma:displayName="Access to Info Exception" name="WBDocs_Access_To_Info_Exception" ma:index="13" ma:internalName="WBDocs_Access_To_Info_Exception" ma:default="12. Not Assessed">
      <xsd:simpleType xmlns:xsd="http://www.w3.org/2001/XMLSchema">
        <xsd:restriction xmlns:xsd="http://www.w3.org/2001/XMLSchema" base="dms:Choice">
          <xsd:enumeration xmlns:xsd="http://www.w3.org/2001/XMLSchema" value="1. Personal"/>
          <xsd:enumeration xmlns:xsd="http://www.w3.org/2001/XMLSchema" value="2. Executive Director's Communications"/>
          <xsd:enumeration xmlns:xsd="http://www.w3.org/2001/XMLSchema" value="3. Board Ethics Committee"/>
          <xsd:enumeration xmlns:xsd="http://www.w3.org/2001/XMLSchema" value="4. Attorney-Client Privilege"/>
          <xsd:enumeration xmlns:xsd="http://www.w3.org/2001/XMLSchema" value="5. Security &amp; Safety"/>
          <xsd:enumeration xmlns:xsd="http://www.w3.org/2001/XMLSchema" value="6. Other Disclosure Regimes"/>
          <xsd:enumeration xmlns:xsd="http://www.w3.org/2001/XMLSchema" value="7. Client / Third Party Confidence"/>
          <xsd:enumeration xmlns:xsd="http://www.w3.org/2001/XMLSchema" value="8. Corporate/Administrative"/>
          <xsd:enumeration xmlns:xsd="http://www.w3.org/2001/XMLSchema" value="9. Deliberative"/>
          <xsd:enumeration xmlns:xsd="http://www.w3.org/2001/XMLSchema" value="10a-c. Financial - Forecast/Analysis/Transactions"/>
          <xsd:enumeration xmlns:xsd="http://www.w3.org/2001/XMLSchema" value="10d. Financial - Banking &amp; Billing"/>
          <xsd:enumeration xmlns:xsd="http://www.w3.org/2001/XMLSchema" value="11. Bank's Prerogative to Restrict"/>
          <xsd:enumeration xmlns:xsd="http://www.w3.org/2001/XMLSchema" value="12. Not Assessed"/>
          <xsd:enumeration xmlns:xsd="http://www.w3.org/2001/XMLSchema" value="13. Not Applicable"/>
          <xsd:enumeration xmlns:xsd="http://www.w3.org/2001/XMLSchema" value="Unknown Policy Restriction"/>
        </xsd:restriction>
      </xsd:simpleType>
    </xsd:element>
    <xsd:element xmlns:xsd="http://www.w3.org/2001/XMLSchema" xmlns:ma="http://schemas.microsoft.com/office/2006/metadata/properties/metaAttributes" nillable="true" ma:isKeyword="false" fieldId="{81cb080a-3dca-4eb8-a0fd-03c7cc8bf8f7}" ma:sspId="2a6c10d7-b926-4fc0-945e-3cbf5049f6bd" ma:displayName="Local Document Type" ma:termSetId="ec380048-e675-43f7-9194-41567bcb0af6" name="o1cb080a3dca4eb8a0fd03c7cc8bf8f7" ma:taxonomyFieldName="WBDocs_Local_Document_Type" ma:index="15" ma:internalName="o1cb080a3dca4eb8a0fd03c7cc8bf8f7" ma:default="" ma:anchorId="00000000-0000-0000-0000-000000000000" ma:readOnly="false" ma:open="false" ma:taxonomyMulti="true" ma:taxonomy="true">
      <xsd:complexType xmlns:xsd="http://www.w3.org/2001/XMLSchema">
        <xsd:sequence xmlns:xsd="http://www.w3.org/2001/XMLSchema">
          <xsd:element xmlns:xsd="http://www.w3.org/2001/XMLSchema" maxOccurs="1" minOccurs="0" ref="pc:Terms"/>
        </xsd:sequence>
      </xsd:complexType>
    </xsd:element>
    <xsd:element xmlns:xsd="http://www.w3.org/2001/XMLSchema" xmlns:ma="http://schemas.microsoft.com/office/2006/metadata/properties/metaAttributes" nillable="true" ma:isKeyword="false" fieldId="{2008215b-acac-4502-9ee8-cafff4c8e93b}" ma:sspId="2a6c10d7-b926-4fc0-945e-3cbf5049f6bd" ma:displayName="Originating unit" ma:termSetId="806c0147-d557-463e-8bb0-983f4f318bd5" name="i008215bacac45029ee8cafff4c8e93b" ma:taxonomyFieldName="WBDocs_Originating_Unit" ma:index="17" ma:internalName="i008215bacac45029ee8cafff4c8e93b" ma:default="5;#EACCF - WB Off: Beijing|2435c311-dfa9-4ae1-8e70-c51f57abf81a" ma:anchorId="00000000-0000-0000-0000-000000000000" ma:readOnly="false" ma:open="false" ma:taxonomyMulti="true" ma:taxonomy="true">
      <xsd:complexType xmlns:xsd="http://www.w3.org/2001/XMLSchema">
        <xsd:sequence xmlns:xsd="http://www.w3.org/2001/XMLSchema">
          <xsd:element xmlns:xsd="http://www.w3.org/2001/XMLSchema" maxOccurs="1" minOccurs="0" ref="pc:Terms"/>
        </xsd:sequence>
      </xsd:complexType>
    </xsd:element>
    <xsd:element xmlns:xsd="http://www.w3.org/2001/XMLSchema" xmlns:ma="http://schemas.microsoft.com/office/2006/metadata/properties/metaAttributes" nillable="true" ma:displayName="Subcategory" name="OneCMS_Subcategory" hidden="true" ma:index="21" ma:internalName="OneCMS_Subcategory" ma:readOnly="false">
      <xsd:simpleType xmlns:xsd="http://www.w3.org/2001/XMLSchema">
        <xsd:restriction xmlns:xsd="http://www.w3.org/2001/XMLSchema" base="dms:Text"/>
      </xsd:simpleType>
    </xsd:element>
    <xsd:element xmlns:xsd="http://www.w3.org/2001/XMLSchema" xmlns:ma="http://schemas.microsoft.com/office/2006/metadata/properties/metaAttributes" nillable="true" ma:displayName="Category" name="OneCMS_Category" hidden="true" ma:index="22" ma:internalName="OneCMS_Category" ma:readOnly="false">
      <xsd:simpleType xmlns:xsd="http://www.w3.org/2001/XMLSchema">
        <xsd:restriction xmlns:xsd="http://www.w3.org/2001/XMLSchema" base="dms:Text"/>
      </xsd:simpleType>
    </xsd:element>
    <xsd:element xmlns:xsd="http://www.w3.org/2001/XMLSchema" xmlns:ma="http://schemas.microsoft.com/office/2006/metadata/properties/metaAttributes" nillable="true" ma:displayName="Abstract" name="Abstract" hidden="true" ma:index="23" ma:internalName="Abstract" ma:readOnly="false">
      <xsd:simpleType xmlns:xsd="http://www.w3.org/2001/XMLSchema">
        <xsd:restriction xmlns:xsd="http://www.w3.org/2001/XMLSchema" base="dms:Note"/>
      </xsd:simpleType>
    </xsd:element>
  </xsd:schema>
  <xsd:schema xmlns:xsd="http://www.w3.org/2001/XMLSchema" targetNamespace="http://schemas.openxmlformats.org/package/2006/metadata/core-properties" elementFormDefault="qualified" attributeFormDefault="unqualified" blockDefault="#all">
    <xsd:import xmlns:xsd="http://www.w3.org/2001/XMLSchema" schemaLocation="http://dublincore.org/schemas/xmls/qdc/2003/04/02/dc.xsd" namespace="http://purl.org/dc/elements/1.1/"/>
    <xsd:import xmlns:xsd="http://www.w3.org/2001/XMLSchema" schemaLocation="http://dublincore.org/schemas/xmls/qdc/2003/04/02/dcterms.xsd" namespace="http://purl.org/dc/terms/"/>
    <xsd:element xmlns:xsd="http://www.w3.org/2001/XMLSchema" type="CT_coreProperties" name="coreProperties"/>
    <xsd:complexType xmlns:xsd="http://www.w3.org/2001/XMLSchema" name="CT_coreProperties">
      <xsd:all xmlns:xsd="http://www.w3.org/2001/XMLSchema">
        <xsd:element xmlns:xsd="http://www.w3.org/2001/XMLSchema" xmlns:ma="http://schemas.microsoft.com/office/2006/metadata/properties/metaAttributes" maxOccurs="1" displayName="Author" minOccurs="0" ref="dc:creator" ma:index="2"/>
        <xsd:element xmlns:xsd="http://www.w3.org/2001/XMLSchema" maxOccurs="1" minOccurs="0" ref="dcterms:created"/>
        <xsd:element xmlns:xsd="http://www.w3.org/2001/XMLSchema" maxOccurs="1" minOccurs="0" ref="dc:identifier"/>
        <xsd:element xmlns:xsd="http://www.w3.org/2001/XMLSchema" xmlns:ma="http://schemas.microsoft.com/office/2006/metadata/properties/metaAttributes" type="xsd:string" maxOccurs="1" displayName="Content Type" minOccurs="0" name="contentType" ma:index="19"/>
        <xsd:element xmlns:xsd="http://www.w3.org/2001/XMLSchema" xmlns:ma="http://schemas.microsoft.com/office/2006/metadata/properties/metaAttributes" maxOccurs="1" displayName="Title" minOccurs="0" ref="dc:title" ma:index="1"/>
        <xsd:element xmlns:xsd="http://www.w3.org/2001/XMLSchema" maxOccurs="1" minOccurs="0" ref="dc:subject"/>
        <xsd:element xmlns:xsd="http://www.w3.org/2001/XMLSchema" maxOccurs="1" minOccurs="0" ref="dc:description"/>
        <xsd:element xmlns:xsd="http://www.w3.org/2001/XMLSchema" type="xsd:string" maxOccurs="1" minOccurs="0" name="keywords"/>
        <xsd:element xmlns:xsd="http://www.w3.org/2001/XMLSchema" maxOccurs="1" minOccurs="0" ref="dc:language"/>
        <xsd:element xmlns:xsd="http://www.w3.org/2001/XMLSchema" type="xsd:string" maxOccurs="1" minOccurs="0" name="category"/>
        <xsd:element xmlns:xsd="http://www.w3.org/2001/XMLSchema" type="xsd:string" maxOccurs="1" minOccurs="0" name="version"/>
        <xsd:element xmlns:xsd="http://www.w3.org/2001/XMLSchema" type="xsd:string" maxOccurs="1" minOccurs="0" name="revision">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type="xsd:string" maxOccurs="1" minOccurs="0" name="lastModifiedBy"/>
        <xsd:element xmlns:xsd="http://www.w3.org/2001/XMLSchema" maxOccurs="1" minOccurs="0" ref="dcterms:modified"/>
        <xsd:element xmlns:xsd="http://www.w3.org/2001/XMLSchema" type="xsd:string" maxOccurs="1" minOccurs="0" name="contentStatus"/>
      </xsd:all>
    </xsd:complexType>
  </xsd:schema>
  <xs:schema xmlns:xs="http://www.w3.org/2001/XMLSchema" targetNamespace="http://schemas.microsoft.com/office/infopath/2007/PartnerControls" elementFormDefault="qualified" attributeFormDefault="unqualified">
    <xs:element xmlns:xs="http://www.w3.org/2001/XMLSchema" name="Person">
      <xs:complexType xmlns:xs="http://www.w3.org/2001/XMLSchema">
        <xs:sequence xmlns:xs="http://www.w3.org/2001/XMLSchema">
          <xs:element xmlns:xs="http://www.w3.org/2001/XMLSchema" minOccurs="0" ref="pc:DisplayName"/>
          <xs:element xmlns:xs="http://www.w3.org/2001/XMLSchema" minOccurs="0" ref="pc:AccountId"/>
          <xs:element xmlns:xs="http://www.w3.org/2001/XMLSchema" minOccurs="0" ref="pc:AccountType"/>
        </xs:sequence>
      </xs:complexType>
    </xs:element>
    <xs:element xmlns:xs="http://www.w3.org/2001/XMLSchema" type="xs:string" name="DisplayName"/>
    <xs:element xmlns:xs="http://www.w3.org/2001/XMLSchema" type="xs:string" name="AccountId"/>
    <xs:element xmlns:xs="http://www.w3.org/2001/XMLSchema" type="xs:string" name="AccountType"/>
    <xs:element xmlns:xs="http://www.w3.org/2001/XMLSchema" name="BDCAssociatedEntity">
      <xs:complexType xmlns:xs="http://www.w3.org/2001/XMLSchema">
        <xs:sequence xmlns:xs="http://www.w3.org/2001/XMLSchema">
          <xs:element xmlns:xs="http://www.w3.org/2001/XMLSchema" maxOccurs="unbounded" minOccurs="0" ref="pc:BDCEntity"/>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type="xs:string" name="EntityNamespace"/>
    <xs:attribute xmlns:xs="http://www.w3.org/2001/XMLSchema" type="xs:string" name="EntityName"/>
    <xs:attribute xmlns:xs="http://www.w3.org/2001/XMLSchema" type="xs:string" name="SystemInstanceName"/>
    <xs:attribute xmlns:xs="http://www.w3.org/2001/XMLSchema" type="xs:string" name="AssociationName"/>
    <xs:element xmlns:xs="http://www.w3.org/2001/XMLSchema" name="BDCEntity">
      <xs:complexType xmlns:xs="http://www.w3.org/2001/XMLSchema">
        <xs:sequence xmlns:xs="http://www.w3.org/2001/XMLSchema">
          <xs:element xmlns:xs="http://www.w3.org/2001/XMLSchema" minOccurs="0" ref="pc:EntityDisplayName"/>
          <xs:element xmlns:xs="http://www.w3.org/2001/XMLSchema" minOccurs="0" ref="pc:EntityInstanceReference"/>
          <xs:element xmlns:xs="http://www.w3.org/2001/XMLSchema" minOccurs="0" ref="pc:EntityId1"/>
          <xs:element xmlns:xs="http://www.w3.org/2001/XMLSchema" minOccurs="0" ref="pc:EntityId2"/>
          <xs:element xmlns:xs="http://www.w3.org/2001/XMLSchema" minOccurs="0" ref="pc:EntityId3"/>
          <xs:element xmlns:xs="http://www.w3.org/2001/XMLSchema" minOccurs="0" ref="pc:EntityId4"/>
          <xs:element xmlns:xs="http://www.w3.org/2001/XMLSchema" minOccurs="0" ref="pc:EntityId5"/>
        </xs:sequence>
      </xs:complexType>
    </xs:element>
    <xs:element xmlns:xs="http://www.w3.org/2001/XMLSchema" type="xs:string" name="EntityDisplayName"/>
    <xs:element xmlns:xs="http://www.w3.org/2001/XMLSchema" type="xs:string" name="EntityInstanceReference"/>
    <xs:element xmlns:xs="http://www.w3.org/2001/XMLSchema" type="xs:string" name="EntityId1"/>
    <xs:element xmlns:xs="http://www.w3.org/2001/XMLSchema" type="xs:string" name="EntityId2"/>
    <xs:element xmlns:xs="http://www.w3.org/2001/XMLSchema" type="xs:string" name="EntityId3"/>
    <xs:element xmlns:xs="http://www.w3.org/2001/XMLSchema" type="xs:string" name="EntityId4"/>
    <xs:element xmlns:xs="http://www.w3.org/2001/XMLSchema" type="xs:string" name="EntityId5"/>
    <xs:element xmlns:xs="http://www.w3.org/2001/XMLSchema" name="Terms">
      <xs:complexType xmlns:xs="http://www.w3.org/2001/XMLSchema">
        <xs:sequence xmlns:xs="http://www.w3.org/2001/XMLSchema">
          <xs:element xmlns:xs="http://www.w3.org/2001/XMLSchema" maxOccurs="unbounded" minOccurs="0" ref="pc:TermInfo"/>
        </xs:sequence>
      </xs:complexType>
    </xs:element>
    <xs:element xmlns:xs="http://www.w3.org/2001/XMLSchema" name="TermInfo">
      <xs:complexType xmlns:xs="http://www.w3.org/2001/XMLSchema">
        <xs:sequence xmlns:xs="http://www.w3.org/2001/XMLSchema">
          <xs:element xmlns:xs="http://www.w3.org/2001/XMLSchema" minOccurs="0" ref="pc:TermName"/>
          <xs:element xmlns:xs="http://www.w3.org/2001/XMLSchema" minOccurs="0" ref="pc:TermId"/>
        </xs:sequence>
      </xs:complexType>
    </xs:element>
    <xs:element xmlns:xs="http://www.w3.org/2001/XMLSchema" type="xs:string" name="TermName"/>
    <xs:element xmlns:xs="http://www.w3.org/2001/XMLSchema" type="xs:string" name="TermId"/>
  </xs:schema>
</ct:contentTypeSchema>
</file>

<file path=customXml/item9.xml><?xml version="1.0" encoding="utf-8"?>
<p:properties xmlns:p="http://schemas.microsoft.com/office/2006/metadata/properties" xmlns:pc="http://schemas.microsoft.com/office/infopath/2007/PartnerControls" xmlns:xsi="http://www.w3.org/2001/XMLSchema-instance">
  <documentManagement>
    <o1cb080a3dca4eb8a0fd03c7cc8bf8f7 xmlns="3e02667f-0271-471b-bd6e-11a2e16def1d">
      <Terms xmlns="http://schemas.microsoft.com/office/infopath/2007/PartnerControls"/>
    </o1cb080a3dca4eb8a0fd03c7cc8bf8f7>
    <Abstract xmlns="3e02667f-0271-471b-bd6e-11a2e16def1d" xmlns:xsi="http://www.w3.org/2001/XMLSchema-instance" xsi:nil="true"/>
    <WBDocs_Access_To_Info_Exception xmlns="3e02667f-0271-471b-bd6e-11a2e16def1d">12. Not Assessed</WBDocs_Access_To_Info_Exception>
    <WBDocs_Document_Date xmlns="3e02667f-0271-471b-bd6e-11a2e16def1d">2026-05-06T04:09:55+00:00</WBDocs_Document_Date>
    <TaxCatchAll xmlns="3e02667f-0271-471b-bd6e-11a2e16def1d">
      <Value xmlns="3e02667f-0271-471b-bd6e-11a2e16def1d">5</Value>
    </TaxCatchAll>
    <OneCMS_Subcategory xmlns="3e02667f-0271-471b-bd6e-11a2e16def1d" xmlns:xsi="http://www.w3.org/2001/XMLSchema-instance"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EACCF - WB Off: Beijing</TermName>
          <TermId xmlns="http://schemas.microsoft.com/office/infopath/2007/PartnerControls">2435c311-dfa9-4ae1-8e70-c51f57abf81a</TermId>
        </TermInfo>
      </Terms>
    </i008215bacac45029ee8cafff4c8e93b>
    <WBDocs_Information_Classification xmlns="3e02667f-0271-471b-bd6e-11a2e16def1d">Official Use Only</WBDocs_Information_Classification>
    <OneCMS_Category xmlns="3e02667f-0271-471b-bd6e-11a2e16def1d" xmlns:xsi="http://www.w3.org/2001/XMLSchema-instance"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55F3077B-7A21-406B-89CE-3B1C0F77CC42}">
  <ds:schemaRefs/>
</ds:datastoreItem>
</file>

<file path=customXml/itemProps11.xml><?xml version="1.0" encoding="utf-8"?>
<ds:datastoreItem xmlns:ds="http://schemas.openxmlformats.org/officeDocument/2006/customXml" ds:itemID="{75C4A976-0F2E-474E-B463-AFFD7B89C8B5}">
  <ds:schemaRefs/>
</ds:datastoreItem>
</file>

<file path=customXml/itemProps2.xml><?xml version="1.0" encoding="utf-8"?>
<ds:datastoreItem xmlns:ds="http://schemas.openxmlformats.org/officeDocument/2006/customXml" ds:itemID="{E7357A9E-1A79-404D-A9A1-B91AEC252E8C}">
  <ds:schemaRefs/>
</ds:datastoreItem>
</file>

<file path=customXml/itemProps3.xml><?xml version="1.0" encoding="utf-8"?>
<ds:datastoreItem xmlns:ds="http://schemas.openxmlformats.org/officeDocument/2006/customXml" ds:itemID="{49A665AC-B1AE-4F4D-89C7-723764CC7EA4}">
  <ds:schemaRefs/>
</ds:datastoreItem>
</file>

<file path=customXml/itemProps4.xml><?xml version="1.0" encoding="utf-8"?>
<ds:datastoreItem xmlns:ds="http://schemas.openxmlformats.org/officeDocument/2006/customXml" ds:itemID="{A9BBD6F2-2196-46F7-B8AD-45DEFC071705}">
  <ds:schemaRefs/>
</ds:datastoreItem>
</file>

<file path=customXml/itemProps5.xml><?xml version="1.0" encoding="utf-8"?>
<ds:datastoreItem xmlns:ds="http://schemas.openxmlformats.org/officeDocument/2006/customXml" ds:itemID="{3D727604-8E2C-442A-B86F-73EEA4E74919}">
  <ds:schemaRefs/>
</ds:datastoreItem>
</file>

<file path=customXml/itemProps6.xml><?xml version="1.0" encoding="utf-8"?>
<ds:datastoreItem xmlns:ds="http://schemas.openxmlformats.org/officeDocument/2006/customXml" ds:itemID="{EE03B2F3-1BE5-4E32-88C8-3ACA50F04C74}">
  <ds:schemaRefs/>
</ds:datastoreItem>
</file>

<file path=customXml/itemProps7.xml><?xml version="1.0" encoding="utf-8"?>
<ds:datastoreItem xmlns:ds="http://schemas.openxmlformats.org/officeDocument/2006/customXml" ds:itemID="{2F031D45-88D3-4D87-AB24-25FF95B0AA6D}">
  <ds:schemaRefs/>
</ds:datastoreItem>
</file>

<file path=customXml/itemProps8.xml><?xml version="1.0" encoding="utf-8"?>
<ds:datastoreItem xmlns:ds="http://schemas.openxmlformats.org/officeDocument/2006/customXml" ds:itemID="{DC711668-3EB7-4570-95DE-34AD94E4A60C}">
  <ds:schemaRefs/>
</ds:datastoreItem>
</file>

<file path=customXml/itemProps9.xml><?xml version="1.0" encoding="utf-8"?>
<ds:datastoreItem xmlns:ds="http://schemas.openxmlformats.org/officeDocument/2006/customXml" ds:itemID="{5C6A7B50-017E-42EE-9646-A2174EC8DCA0}">
  <ds:schemaRefs/>
</ds:datastoreItem>
</file>

<file path=docProps/app.xml><?xml version="1.0" encoding="utf-8"?>
<Properties xmlns="http://schemas.openxmlformats.org/officeDocument/2006/extended-properties" xmlns:vt="http://schemas.openxmlformats.org/officeDocument/2006/docPropsVTypes">
  <Template>Normal.dotm</Template>
  <Company>WBG</Company>
  <Pages>17</Pages>
  <Words>2001</Words>
  <Characters>2097</Characters>
  <Lines>369</Lines>
  <Paragraphs>308</Paragraphs>
  <TotalTime>1</TotalTime>
  <ScaleCrop>false</ScaleCrop>
  <LinksUpToDate>false</LinksUpToDate>
  <CharactersWithSpaces>2099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2026-03-16T19:38:00Z</dcterms:created>
  <dc:creator>river</dc:creator>
  <cp:lastModifiedBy>lillian</cp:lastModifiedBy>
  <dcterms:modified xsi:type="dcterms:W3CDTF">2026-07-31T02:14:36Z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28F08E1B2C0348D897B2046F4DFE63D5_12</vt:lpwstr>
  </property>
  <property fmtid="{D5CDD505-2E9C-101B-9397-08002B2CF9AE}" pid="4" name="KSOTemplateDocerSaveRecord">
    <vt:lpwstr>eyJoZGlkIjoiMjIyMWMzOGE3YjUzODgxZmVkMTc5NzMzZDFlZDMyOGYiLCJ1c2VySWQiOiIyMzAzMjg4NTkifQ==</vt:lpwstr>
  </property>
  <property fmtid="{D5CDD505-2E9C-101B-9397-08002B2CF9AE}" pid="5" name="ContentTypeId">
    <vt:lpwstr>0x010100F4C63C3BD852AE468EAEFD0E6C57C64F02008C015598D0747D4283BB1F9D49ADADC6</vt:lpwstr>
  </property>
  <property fmtid="{D5CDD505-2E9C-101B-9397-08002B2CF9AE}" pid="6" name="ClassificationContentMarkingFooterShapeIds">
    <vt:lpwstr>37a04787,4d749f28,5236f5f2</vt:lpwstr>
  </property>
  <property fmtid="{D5CDD505-2E9C-101B-9397-08002B2CF9AE}" pid="7" name="ClassificationContentMarkingFooterFontProps">
    <vt:lpwstr>#000000,10,Aptos</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2026-05-07T13:15:52Z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31306c50-46dd-4747-b683-d3671db52418</vt:lpwstr>
  </property>
  <property fmtid="{D5CDD505-2E9C-101B-9397-08002B2CF9AE}" pid="15" name="MSIP_Label_f1bf45b6-5649-4236-82a3-f45024cd282e_ContentBits">
    <vt:lpwstr>2</vt:lpwstr>
  </property>
  <property fmtid="{D5CDD505-2E9C-101B-9397-08002B2CF9AE}" pid="16" name="MSIP_Label_f1bf45b6-5649-4236-82a3-f45024cd282e_Tag">
    <vt:lpwstr>10, 3, 0, 1</vt:lpwstr>
  </property>
  <property fmtid="{D5CDD505-2E9C-101B-9397-08002B2CF9AE}" pid="17" name="WBDocs_Local_Document_Type">
    <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WBDocs_Originating_Unit">
    <vt:lpwstr>5;#EACCF - WB Off: Beijing|2435c311-dfa9-4ae1-8e70-c51f57abf81a</vt:lpwstr>
  </property>
  <property fmtid="{D5CDD505-2E9C-101B-9397-08002B2CF9AE}" pid="21" name="docLangLocale">
    <vt:lpwstr>zh-hans</vt:lpwstr>
  </property>
  <property fmtid="{D5CDD505-2E9C-101B-9397-08002B2CF9AE}" pid="22" name="docLang">
    <vt:lpwstr>zh</vt:lpwstr>
  </property>
</Properties>
</file>