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9C" w:rsidRDefault="002E5D9C" w:rsidP="002E5D9C">
      <w:pPr>
        <w:widowControl/>
        <w:jc w:val="left"/>
        <w:rPr>
          <w:rFonts w:ascii="方正公文黑体" w:eastAsia="方正公文黑体" w:hAnsi="方正公文黑体"/>
          <w:b/>
          <w:sz w:val="30"/>
          <w:szCs w:val="30"/>
        </w:rPr>
      </w:pPr>
      <w:r>
        <w:rPr>
          <w:rFonts w:ascii="方正公文黑体" w:eastAsia="方正公文黑体" w:hAnsi="方正公文黑体" w:hint="eastAsia"/>
          <w:b/>
          <w:sz w:val="30"/>
          <w:szCs w:val="30"/>
        </w:rPr>
        <w:t>附件</w:t>
      </w:r>
      <w:r>
        <w:rPr>
          <w:rFonts w:ascii="方正公文黑体" w:eastAsia="方正公文黑体" w:hAnsi="方正公文黑体"/>
          <w:b/>
          <w:sz w:val="30"/>
          <w:szCs w:val="30"/>
        </w:rPr>
        <w:t>1</w:t>
      </w:r>
    </w:p>
    <w:p w:rsidR="002E5D9C" w:rsidRDefault="002E5D9C" w:rsidP="002E5D9C">
      <w:pPr>
        <w:widowControl/>
        <w:jc w:val="center"/>
        <w:rPr>
          <w:rFonts w:ascii="华文宋体" w:eastAsia="华文宋体" w:hAnsi="华文宋体"/>
          <w:b/>
          <w:sz w:val="30"/>
          <w:szCs w:val="30"/>
        </w:rPr>
      </w:pPr>
      <w:bookmarkStart w:id="0" w:name="_GoBack"/>
      <w:r>
        <w:rPr>
          <w:rFonts w:ascii="华文宋体" w:eastAsia="华文宋体" w:hAnsi="华文宋体" w:hint="eastAsia"/>
          <w:b/>
          <w:sz w:val="30"/>
          <w:szCs w:val="30"/>
        </w:rPr>
        <w:t>2021年“一带一路”减</w:t>
      </w:r>
      <w:proofErr w:type="gramStart"/>
      <w:r>
        <w:rPr>
          <w:rFonts w:ascii="华文宋体" w:eastAsia="华文宋体" w:hAnsi="华文宋体" w:hint="eastAsia"/>
          <w:b/>
          <w:sz w:val="30"/>
          <w:szCs w:val="30"/>
        </w:rPr>
        <w:t>污降碳</w:t>
      </w:r>
      <w:proofErr w:type="gramEnd"/>
      <w:r>
        <w:rPr>
          <w:rFonts w:ascii="华文宋体" w:eastAsia="华文宋体" w:hAnsi="华文宋体" w:hint="eastAsia"/>
          <w:b/>
          <w:sz w:val="30"/>
          <w:szCs w:val="30"/>
        </w:rPr>
        <w:t>协同增效典型案例简介</w:t>
      </w:r>
      <w:bookmarkEnd w:id="0"/>
    </w:p>
    <w:p w:rsidR="002E5D9C" w:rsidRDefault="002E5D9C" w:rsidP="002E5D9C">
      <w:pPr>
        <w:pStyle w:val="Default"/>
        <w:rPr>
          <w:rFonts w:hint="default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5"/>
        <w:gridCol w:w="1916"/>
        <w:gridCol w:w="6061"/>
      </w:tblGrid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>
              <w:rPr>
                <w:rFonts w:ascii="华文宋体" w:eastAsia="华文宋体" w:hAnsi="华文宋体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ascii="华文宋体" w:eastAsia="华文宋体" w:hAnsi="华文宋体"/>
                <w:b/>
                <w:sz w:val="30"/>
                <w:szCs w:val="30"/>
              </w:rPr>
            </w:pPr>
            <w:r>
              <w:rPr>
                <w:rFonts w:ascii="华文宋体" w:eastAsia="华文宋体" w:hAnsi="华文宋体"/>
                <w:b/>
                <w:bCs/>
                <w:color w:val="00000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ind w:firstLineChars="100" w:firstLine="240"/>
              <w:jc w:val="left"/>
              <w:rPr>
                <w:rFonts w:ascii="华文宋体" w:eastAsia="华文宋体" w:hAnsi="华文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华文宋体" w:eastAsia="华文宋体" w:hAnsi="华文宋体"/>
                <w:b/>
                <w:bCs/>
                <w:color w:val="000000"/>
                <w:sz w:val="24"/>
                <w:szCs w:val="24"/>
                <w:lang w:bidi="ar"/>
              </w:rPr>
              <w:t>案例特点及推广价值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空气预热器柔性接触式密封技术在越南海防电厂的应用案例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空气预热器密封改造。漏风率由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15%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降为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6%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，减少供电煤耗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4.61g/</w:t>
            </w:r>
            <w:proofErr w:type="spellStart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k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W·h</w:t>
            </w:r>
            <w:proofErr w:type="spell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。节约标煤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8298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吨，减排二氧化碳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20687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燃气蒸汽联合循环技术在安哥拉</w:t>
            </w:r>
            <w:r>
              <w:rPr>
                <w:rFonts w:eastAsia="仿宋_GB2312"/>
                <w:color w:val="000000"/>
                <w:sz w:val="24"/>
                <w:szCs w:val="24"/>
              </w:rPr>
              <w:t>SOYO I</w:t>
            </w:r>
            <w:r>
              <w:rPr>
                <w:rFonts w:eastAsia="仿宋_GB2312"/>
                <w:sz w:val="24"/>
                <w:szCs w:val="24"/>
              </w:rPr>
              <w:t>联合循环</w:t>
            </w:r>
            <w:r>
              <w:rPr>
                <w:rFonts w:eastAsia="仿宋_GB2312"/>
                <w:color w:val="000000"/>
                <w:sz w:val="24"/>
                <w:szCs w:val="24"/>
              </w:rPr>
              <w:t>电厂案例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以天然气为主燃料，替代低效率柴油机发电厂。节约燃料成本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650.81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万美元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年，减排二氧化碳约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热泵余热利用技术在天津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国能津能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</w:rPr>
              <w:t>滨海热电有限公司的应用案例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吸收式热泵系统回收汽轮机及烟气余热，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增大抽凝供热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机组电负荷、热负荷调峰范围，减少汽轮机冷端热损失。余热回收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120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GJ/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年，节约标煤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年，减少淡水耗量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2800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日。颗粒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物减排约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96.21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年，减排二氧化碳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108000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年，氮氧化物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年，二氧化硫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SCR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催化剂再生技术在华能玉环电厂的应用案例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再生脱硝催化剂，活性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100%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恢复，二氧化硫氧化率低于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0.25%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。再生脱硝催化剂约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1632.8m3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，较新脱硝催化剂生产减排二氧化碳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72%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。减少固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废处理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及采购费用近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1300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万元。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SCR</w:t>
            </w:r>
            <w:r>
              <w:rPr>
                <w:rFonts w:eastAsia="仿宋_GB2312"/>
                <w:color w:val="000000"/>
                <w:sz w:val="24"/>
                <w:szCs w:val="24"/>
              </w:rPr>
              <w:t>催化剂再生技术在皖能铜陵发电有限公司的应用案例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再生脱硝废催化剂，减少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危废产生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量。相较采购新催化剂，节约资源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400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余吨，减排二氧化碳排放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540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废弃脱硝催化剂粉体资源化利用案例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资源化利用废弃脱硝催化剂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年。减排二氧化碳约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12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年，资源化利用废催化剂产生效益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3780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元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吨。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石灰回转窑低温脱硝催化技术在山东中信钙业有限公司的应用案例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石灰回转窑低温脱硝催化剂在高钙、含硫工况下催化转化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NOx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为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N</w:t>
            </w:r>
            <w:r w:rsidRPr="002D06D1">
              <w:rPr>
                <w:rFonts w:eastAsia="仿宋_GB2312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和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H</w:t>
            </w:r>
            <w:r w:rsidRPr="002D06D1">
              <w:rPr>
                <w:rFonts w:eastAsia="仿宋_GB2312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O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。设计最低运行温度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70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℃；</w:t>
            </w:r>
          </w:p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O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x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超净排放（出口≤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35mg/m</w:t>
            </w:r>
            <w:r w:rsidRPr="002D06D1">
              <w:rPr>
                <w:rFonts w:eastAsia="仿宋_GB2312"/>
                <w:color w:val="00000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），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O</w:t>
            </w:r>
            <w:r w:rsidRPr="002D06D1">
              <w:rPr>
                <w:rFonts w:eastAsia="仿宋_GB2312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/SO</w:t>
            </w:r>
            <w:r w:rsidRPr="002D06D1">
              <w:rPr>
                <w:rFonts w:eastAsia="仿宋_GB2312"/>
                <w:color w:val="00000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转化率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.88%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，氨逃逸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.3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ppm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再生水回用在伊朗</w:t>
            </w:r>
            <w:r>
              <w:rPr>
                <w:rFonts w:eastAsia="仿宋_GB2312"/>
                <w:color w:val="000000"/>
                <w:sz w:val="24"/>
                <w:szCs w:val="24"/>
              </w:rPr>
              <w:t>BISCO</w:t>
            </w:r>
            <w:r>
              <w:rPr>
                <w:rFonts w:eastAsia="仿宋_GB2312"/>
                <w:color w:val="000000"/>
                <w:sz w:val="24"/>
                <w:szCs w:val="24"/>
              </w:rPr>
              <w:t>钢厂的应用案例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再生回用城市污水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15000m³/d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，钢厂排水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5280m³/d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，钢厂浓盐水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92m³/h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。节水减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污效果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明显。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工业污水综合治理在河北省宁晋经济开发区的应用案例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采用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非碳源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依赖型</w:t>
            </w:r>
            <w:proofErr w:type="spellStart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SADeN</w:t>
            </w:r>
            <w:proofErr w:type="spellEnd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®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活性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自持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深度脱氮技术，“臭氧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+B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AF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滤池”耦合技术。收纳园区制药、单晶硅等生产废水，以及县域部分生活污水，实现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I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V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类高标尾水的稳效运行。出水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C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OD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小于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25 mg/L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、氨氮小于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.0 mg/L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、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T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远小于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0 mg/L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。年生态优质补水超过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1400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万吨。</w:t>
            </w:r>
          </w:p>
        </w:tc>
      </w:tr>
      <w:tr w:rsidR="002E5D9C" w:rsidTr="00E41C50">
        <w:tc>
          <w:tcPr>
            <w:tcW w:w="0" w:type="auto"/>
            <w:vAlign w:val="center"/>
          </w:tcPr>
          <w:p w:rsidR="002E5D9C" w:rsidRDefault="002E5D9C" w:rsidP="00E41C5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 w:line="360" w:lineRule="auto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工业污水综合治理在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汕头潮南纺织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</w:rPr>
              <w:t>印染园区的应用案例</w:t>
            </w:r>
          </w:p>
        </w:tc>
        <w:tc>
          <w:tcPr>
            <w:tcW w:w="0" w:type="auto"/>
            <w:vAlign w:val="center"/>
          </w:tcPr>
          <w:p w:rsidR="002E5D9C" w:rsidRDefault="002E5D9C" w:rsidP="00E41C50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采用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“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水解酸化处理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+A2/O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生物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+MBR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膜处理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”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工艺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处理印染废水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，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稳定达标排放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，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再生回用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50%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污水。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减少废水排放约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2400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万吨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，利用余热发电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60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</w:t>
            </w:r>
            <w:proofErr w:type="spellStart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kW·h</w:t>
            </w:r>
            <w:proofErr w:type="spellEnd"/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天，热电联产处置印染污泥，约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7.5</w:t>
            </w:r>
            <w:r>
              <w:rPr>
                <w:rFonts w:eastAsia="仿宋_GB2312"/>
                <w:color w:val="000000"/>
                <w:sz w:val="24"/>
                <w:szCs w:val="24"/>
                <w:lang w:bidi="ar"/>
              </w:rPr>
              <w:t>万吨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  <w:lang w:bidi="ar"/>
              </w:rPr>
              <w:t>年。</w:t>
            </w:r>
          </w:p>
        </w:tc>
      </w:tr>
    </w:tbl>
    <w:p w:rsidR="002E5D9C" w:rsidRDefault="002E5D9C" w:rsidP="002E5D9C">
      <w:pPr>
        <w:pStyle w:val="5"/>
        <w:ind w:left="1680"/>
      </w:pPr>
    </w:p>
    <w:p w:rsidR="00DF3283" w:rsidRPr="002E5D9C" w:rsidRDefault="002E5D9C" w:rsidP="002E5D9C">
      <w:pPr>
        <w:widowControl/>
        <w:jc w:val="left"/>
        <w:rPr>
          <w:rFonts w:ascii="Times New Roman" w:eastAsia="仿宋_GB2312" w:hAnsi="Times New Roman" w:cs="Times New Roman" w:hint="eastAsia"/>
          <w:color w:val="000000"/>
          <w:sz w:val="24"/>
          <w:szCs w:val="24"/>
        </w:rPr>
      </w:pPr>
    </w:p>
    <w:sectPr w:rsidR="00DF3283" w:rsidRPr="002E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黑体">
    <w:altName w:val="Microsoft YaHei UI"/>
    <w:charset w:val="86"/>
    <w:family w:val="auto"/>
    <w:pitch w:val="variable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32C31"/>
    <w:multiLevelType w:val="multilevel"/>
    <w:tmpl w:val="7CB32C31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9C"/>
    <w:rsid w:val="002E5D9C"/>
    <w:rsid w:val="00DC3407"/>
    <w:rsid w:val="00E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EE8F"/>
  <w15:chartTrackingRefBased/>
  <w15:docId w15:val="{498E8673-6A42-466C-9AF3-BCB95A2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2E5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uiPriority w:val="99"/>
    <w:unhideWhenUsed/>
    <w:qFormat/>
    <w:rsid w:val="002E5D9C"/>
    <w:pPr>
      <w:widowControl w:val="0"/>
      <w:autoSpaceDE w:val="0"/>
      <w:autoSpaceDN w:val="0"/>
      <w:adjustRightInd w:val="0"/>
    </w:pPr>
    <w:rPr>
      <w:rFonts w:ascii="仿宋" w:eastAsia="仿宋" w:hAnsi="仿宋" w:cs="Times New Roman" w:hint="eastAsia"/>
      <w:color w:val="000000"/>
      <w:kern w:val="0"/>
      <w:sz w:val="24"/>
      <w:szCs w:val="20"/>
    </w:rPr>
  </w:style>
  <w:style w:type="paragraph" w:styleId="5">
    <w:name w:val="index 5"/>
    <w:basedOn w:val="a"/>
    <w:next w:val="a"/>
    <w:qFormat/>
    <w:rsid w:val="002E5D9C"/>
    <w:pPr>
      <w:ind w:leftChars="800" w:left="800"/>
    </w:pPr>
  </w:style>
  <w:style w:type="table" w:styleId="a3">
    <w:name w:val="Table Grid"/>
    <w:basedOn w:val="a1"/>
    <w:uiPriority w:val="39"/>
    <w:qFormat/>
    <w:rsid w:val="002E5D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unhideWhenUsed/>
    <w:qFormat/>
    <w:rsid w:val="002E5D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shiqingmin</dc:creator>
  <cp:keywords/>
  <dc:description/>
  <cp:lastModifiedBy>shiqingmin</cp:lastModifiedBy>
  <cp:revision>1</cp:revision>
  <dcterms:created xsi:type="dcterms:W3CDTF">2021-12-20T02:12:00Z</dcterms:created>
  <dcterms:modified xsi:type="dcterms:W3CDTF">2021-12-20T02:13:00Z</dcterms:modified>
</cp:coreProperties>
</file>