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02A5C" w14:textId="77777777" w:rsidR="009315DF" w:rsidRDefault="009315DF" w:rsidP="009D0FFA">
      <w:pPr>
        <w:jc w:val="center"/>
        <w:rPr>
          <w:rFonts w:ascii="Corbel" w:hAnsi="Corbel"/>
          <w:b/>
          <w:bCs/>
          <w:sz w:val="48"/>
          <w:szCs w:val="48"/>
          <w:lang w:eastAsia="zh-CN"/>
        </w:rPr>
      </w:pPr>
    </w:p>
    <w:p w14:paraId="10D16A90" w14:textId="77777777" w:rsidR="009315DF" w:rsidRDefault="009315DF" w:rsidP="009D0FFA">
      <w:pPr>
        <w:jc w:val="center"/>
        <w:rPr>
          <w:rFonts w:ascii="Corbel" w:hAnsi="Corbel"/>
          <w:b/>
          <w:bCs/>
          <w:sz w:val="48"/>
          <w:szCs w:val="48"/>
          <w:lang w:eastAsia="zh-CN"/>
        </w:rPr>
      </w:pPr>
    </w:p>
    <w:p w14:paraId="531107BF" w14:textId="48160BD9" w:rsidR="009D0FFA" w:rsidRDefault="009D0FFA" w:rsidP="009D0FFA">
      <w:pPr>
        <w:jc w:val="center"/>
        <w:rPr>
          <w:rFonts w:ascii="Corbel" w:hAnsi="Corbel"/>
          <w:b/>
          <w:bCs/>
          <w:sz w:val="48"/>
          <w:szCs w:val="48"/>
          <w:lang w:eastAsia="zh-CN"/>
        </w:rPr>
      </w:pPr>
      <w:r>
        <w:rPr>
          <w:rFonts w:ascii="Corbel" w:hAnsi="Corbel" w:hint="eastAsia"/>
          <w:b/>
          <w:bCs/>
          <w:sz w:val="48"/>
          <w:szCs w:val="48"/>
          <w:lang w:eastAsia="zh-CN"/>
        </w:rPr>
        <w:t>中华人民共和国</w:t>
      </w:r>
    </w:p>
    <w:p w14:paraId="4F6300EE" w14:textId="77777777" w:rsidR="009D0FFA" w:rsidRDefault="009D0FFA" w:rsidP="009D0FFA">
      <w:pPr>
        <w:jc w:val="center"/>
        <w:rPr>
          <w:rFonts w:ascii="Corbel" w:hAnsi="Corbel"/>
          <w:b/>
          <w:bCs/>
          <w:sz w:val="48"/>
          <w:szCs w:val="48"/>
          <w:lang w:eastAsia="zh-CN"/>
        </w:rPr>
      </w:pPr>
    </w:p>
    <w:p w14:paraId="24277C6F" w14:textId="77777777" w:rsidR="009D0FFA" w:rsidRDefault="009D0FFA" w:rsidP="009D0FFA">
      <w:pPr>
        <w:jc w:val="center"/>
        <w:rPr>
          <w:rFonts w:ascii="Corbel" w:hAnsi="Corbel"/>
          <w:b/>
          <w:bCs/>
          <w:sz w:val="48"/>
          <w:szCs w:val="48"/>
          <w:lang w:eastAsia="zh-CN"/>
        </w:rPr>
      </w:pPr>
      <w:r w:rsidRPr="00801F17">
        <w:rPr>
          <w:rFonts w:ascii="Corbel" w:hAnsi="Corbel" w:hint="eastAsia"/>
          <w:b/>
          <w:bCs/>
          <w:sz w:val="48"/>
          <w:szCs w:val="48"/>
          <w:lang w:eastAsia="zh-CN"/>
        </w:rPr>
        <w:t>中国市场伙伴实施基金赠款项目</w:t>
      </w:r>
      <w:r>
        <w:rPr>
          <w:rFonts w:ascii="Corbel" w:hAnsi="Corbel" w:hint="eastAsia"/>
          <w:b/>
          <w:bCs/>
          <w:sz w:val="48"/>
          <w:szCs w:val="48"/>
          <w:lang w:eastAsia="zh-CN"/>
        </w:rPr>
        <w:t>(</w:t>
      </w:r>
      <w:r w:rsidRPr="0083379A">
        <w:rPr>
          <w:rFonts w:ascii="Corbel" w:hAnsi="Corbel"/>
          <w:b/>
          <w:bCs/>
          <w:sz w:val="48"/>
          <w:szCs w:val="48"/>
          <w:lang w:eastAsia="zh-CN"/>
        </w:rPr>
        <w:t>P504267</w:t>
      </w:r>
      <w:r>
        <w:rPr>
          <w:rFonts w:ascii="Corbel" w:hAnsi="Corbel" w:hint="eastAsia"/>
          <w:b/>
          <w:bCs/>
          <w:sz w:val="48"/>
          <w:szCs w:val="48"/>
          <w:lang w:eastAsia="zh-CN"/>
        </w:rPr>
        <w:t>)</w:t>
      </w:r>
    </w:p>
    <w:p w14:paraId="19DD7D3A" w14:textId="77777777" w:rsidR="009D0FFA" w:rsidRPr="00950E8A" w:rsidRDefault="009D0FFA" w:rsidP="009D0FFA">
      <w:pPr>
        <w:jc w:val="center"/>
        <w:rPr>
          <w:rFonts w:ascii="Corbel" w:hAnsi="Corbel"/>
          <w:b/>
          <w:bCs/>
          <w:sz w:val="52"/>
          <w:szCs w:val="52"/>
          <w:lang w:eastAsia="zh-CN"/>
        </w:rPr>
      </w:pPr>
    </w:p>
    <w:p w14:paraId="5FC14722" w14:textId="77777777" w:rsidR="00E17E52" w:rsidRDefault="009D0FFA" w:rsidP="009D0FFA">
      <w:pPr>
        <w:jc w:val="center"/>
        <w:rPr>
          <w:rFonts w:ascii="Corbel" w:hAnsi="Corbel"/>
          <w:b/>
          <w:bCs/>
          <w:color w:val="156082" w:themeColor="accent1"/>
          <w:sz w:val="52"/>
          <w:szCs w:val="52"/>
          <w:lang w:eastAsia="zh-CN"/>
        </w:rPr>
      </w:pPr>
      <w:r w:rsidRPr="00950E8A">
        <w:rPr>
          <w:rFonts w:ascii="Corbel" w:hAnsi="Corbel" w:hint="eastAsia"/>
          <w:b/>
          <w:bCs/>
          <w:color w:val="156082" w:themeColor="accent1"/>
          <w:sz w:val="52"/>
          <w:szCs w:val="52"/>
          <w:lang w:eastAsia="zh-CN"/>
        </w:rPr>
        <w:t>环境和社会承诺计划</w:t>
      </w:r>
      <w:r w:rsidRPr="00950E8A">
        <w:rPr>
          <w:rFonts w:ascii="Corbel" w:hAnsi="Corbel"/>
          <w:b/>
          <w:bCs/>
          <w:color w:val="156082" w:themeColor="accent1"/>
          <w:sz w:val="52"/>
          <w:szCs w:val="52"/>
          <w:lang w:eastAsia="zh-CN"/>
        </w:rPr>
        <w:t xml:space="preserve"> </w:t>
      </w:r>
    </w:p>
    <w:p w14:paraId="6119D7CF" w14:textId="154A5591" w:rsidR="009D0FFA" w:rsidRPr="00950E8A" w:rsidRDefault="009D0FFA" w:rsidP="009D0FFA">
      <w:pPr>
        <w:jc w:val="center"/>
        <w:rPr>
          <w:rFonts w:ascii="Corbel" w:hAnsi="Corbel"/>
          <w:b/>
          <w:bCs/>
          <w:color w:val="156082" w:themeColor="accent1"/>
          <w:sz w:val="52"/>
          <w:szCs w:val="52"/>
          <w:lang w:eastAsia="zh-CN"/>
        </w:rPr>
      </w:pPr>
      <w:r w:rsidRPr="00950E8A">
        <w:rPr>
          <w:rFonts w:ascii="Corbel" w:hAnsi="Corbel"/>
          <w:b/>
          <w:bCs/>
          <w:color w:val="156082" w:themeColor="accent1"/>
          <w:sz w:val="52"/>
          <w:szCs w:val="52"/>
          <w:lang w:eastAsia="zh-CN"/>
        </w:rPr>
        <w:t xml:space="preserve">(ESCP) </w:t>
      </w:r>
    </w:p>
    <w:p w14:paraId="377913D0" w14:textId="0F92FEEC" w:rsidR="009D0FFA" w:rsidRPr="00302478" w:rsidRDefault="00E17E52" w:rsidP="009D0FFA">
      <w:pPr>
        <w:jc w:val="center"/>
        <w:rPr>
          <w:rFonts w:ascii="Corbel" w:hAnsi="Corbel"/>
          <w:b/>
          <w:bCs/>
          <w:color w:val="156082" w:themeColor="accent1"/>
          <w:sz w:val="48"/>
          <w:szCs w:val="48"/>
          <w:lang w:eastAsia="zh-CN"/>
        </w:rPr>
      </w:pPr>
      <w:r>
        <w:rPr>
          <w:rFonts w:ascii="Corbel" w:hAnsi="Corbel" w:hint="eastAsia"/>
          <w:b/>
          <w:bCs/>
          <w:color w:val="156082" w:themeColor="accent1"/>
          <w:sz w:val="48"/>
          <w:szCs w:val="48"/>
          <w:lang w:eastAsia="zh-CN"/>
        </w:rPr>
        <w:t>（</w:t>
      </w:r>
      <w:r w:rsidR="009D0FFA">
        <w:rPr>
          <w:rFonts w:ascii="Corbel" w:hAnsi="Corbel" w:hint="eastAsia"/>
          <w:b/>
          <w:bCs/>
          <w:color w:val="156082" w:themeColor="accent1"/>
          <w:sz w:val="48"/>
          <w:szCs w:val="48"/>
          <w:lang w:eastAsia="zh-CN"/>
        </w:rPr>
        <w:t>草稿</w:t>
      </w:r>
      <w:r>
        <w:rPr>
          <w:rFonts w:ascii="Corbel" w:hAnsi="Corbel" w:hint="eastAsia"/>
          <w:b/>
          <w:bCs/>
          <w:color w:val="156082" w:themeColor="accent1"/>
          <w:sz w:val="48"/>
          <w:szCs w:val="48"/>
          <w:lang w:eastAsia="zh-CN"/>
        </w:rPr>
        <w:t>）</w:t>
      </w:r>
    </w:p>
    <w:p w14:paraId="3AF9F6D1" w14:textId="77777777" w:rsidR="009D0FFA" w:rsidRDefault="009D0FFA" w:rsidP="009D0FFA">
      <w:pPr>
        <w:rPr>
          <w:rFonts w:ascii="Corbel" w:hAnsi="Corbel"/>
          <w:b/>
          <w:sz w:val="48"/>
          <w:lang w:eastAsia="zh-CN"/>
        </w:rPr>
      </w:pPr>
    </w:p>
    <w:p w14:paraId="227E8B1E" w14:textId="77777777" w:rsidR="009D0FFA" w:rsidRDefault="009D0FFA" w:rsidP="009D0FFA">
      <w:pPr>
        <w:rPr>
          <w:rFonts w:ascii="Corbel" w:hAnsi="Corbel"/>
          <w:b/>
          <w:sz w:val="48"/>
          <w:lang w:eastAsia="zh-CN"/>
        </w:rPr>
      </w:pPr>
    </w:p>
    <w:p w14:paraId="5630B027" w14:textId="77777777" w:rsidR="009D0FFA" w:rsidRDefault="009D0FFA" w:rsidP="009D0FFA">
      <w:pPr>
        <w:rPr>
          <w:rFonts w:ascii="Corbel" w:hAnsi="Corbel" w:hint="eastAsia"/>
          <w:b/>
          <w:sz w:val="48"/>
          <w:lang w:eastAsia="zh-CN"/>
        </w:rPr>
      </w:pPr>
    </w:p>
    <w:p w14:paraId="24E2A83A" w14:textId="77777777" w:rsidR="009D0FFA" w:rsidRPr="00A92BFA" w:rsidRDefault="009D0FFA" w:rsidP="009D0FFA">
      <w:pPr>
        <w:jc w:val="center"/>
        <w:rPr>
          <w:rFonts w:ascii="Corbel" w:hAnsi="Corbel"/>
          <w:b/>
          <w:sz w:val="48"/>
          <w:lang w:eastAsia="zh-CN"/>
        </w:rPr>
      </w:pPr>
      <w:r>
        <w:rPr>
          <w:rFonts w:ascii="Corbel" w:hAnsi="Corbel" w:hint="eastAsia"/>
          <w:b/>
          <w:sz w:val="48"/>
          <w:lang w:eastAsia="zh-CN"/>
        </w:rPr>
        <w:t>2024</w:t>
      </w:r>
      <w:r>
        <w:rPr>
          <w:rFonts w:ascii="Corbel" w:hAnsi="Corbel" w:hint="eastAsia"/>
          <w:b/>
          <w:sz w:val="48"/>
          <w:lang w:eastAsia="zh-CN"/>
        </w:rPr>
        <w:t>年</w:t>
      </w:r>
      <w:r>
        <w:rPr>
          <w:rFonts w:ascii="Corbel" w:hAnsi="Corbel" w:hint="eastAsia"/>
          <w:b/>
          <w:sz w:val="48"/>
          <w:lang w:eastAsia="zh-CN"/>
        </w:rPr>
        <w:t>11</w:t>
      </w:r>
      <w:r>
        <w:rPr>
          <w:rFonts w:ascii="Corbel" w:hAnsi="Corbel" w:hint="eastAsia"/>
          <w:b/>
          <w:sz w:val="48"/>
          <w:lang w:eastAsia="zh-CN"/>
        </w:rPr>
        <w:t>月</w:t>
      </w:r>
    </w:p>
    <w:p w14:paraId="1B1D4AF6" w14:textId="77777777" w:rsidR="008B7074" w:rsidRDefault="008B7074">
      <w:pPr>
        <w:rPr>
          <w:lang w:eastAsia="zh-CN"/>
        </w:rPr>
      </w:pPr>
    </w:p>
    <w:p w14:paraId="5014D8E7" w14:textId="77777777" w:rsidR="009D0FFA" w:rsidRDefault="009D0FFA">
      <w:pPr>
        <w:rPr>
          <w:lang w:eastAsia="zh-CN"/>
        </w:rPr>
      </w:pPr>
    </w:p>
    <w:p w14:paraId="7BF41F1B" w14:textId="77777777" w:rsidR="009D0FFA" w:rsidRDefault="009D0FFA">
      <w:pPr>
        <w:rPr>
          <w:lang w:eastAsia="zh-CN"/>
        </w:rPr>
      </w:pPr>
    </w:p>
    <w:p w14:paraId="4DE07A79" w14:textId="77777777" w:rsidR="009D0FFA" w:rsidRPr="00302478" w:rsidRDefault="009D0FFA" w:rsidP="009D0FFA">
      <w:pPr>
        <w:jc w:val="center"/>
        <w:rPr>
          <w:rFonts w:ascii="Calibri" w:hAnsi="Calibri"/>
          <w:b/>
          <w:lang w:eastAsia="zh-CN"/>
        </w:rPr>
      </w:pPr>
      <w:r>
        <w:rPr>
          <w:rFonts w:ascii="Calibri" w:hAnsi="Calibri" w:hint="eastAsia"/>
          <w:b/>
          <w:lang w:eastAsia="zh-CN"/>
        </w:rPr>
        <w:t>环境和社会承诺计划</w:t>
      </w:r>
    </w:p>
    <w:p w14:paraId="37C74E65" w14:textId="77777777" w:rsidR="009D0FFA" w:rsidRPr="002557C7" w:rsidRDefault="009D0FFA" w:rsidP="009D0FFA">
      <w:pPr>
        <w:rPr>
          <w:rFonts w:ascii="宋体" w:eastAsia="宋体" w:hAnsi="宋体"/>
          <w:lang w:eastAsia="zh-CN"/>
        </w:rPr>
      </w:pPr>
    </w:p>
    <w:p w14:paraId="74175BBE" w14:textId="77777777" w:rsidR="009D0FFA" w:rsidRPr="00801F17" w:rsidRDefault="009D0FFA" w:rsidP="009D0FFA">
      <w:pPr>
        <w:pStyle w:val="a9"/>
        <w:numPr>
          <w:ilvl w:val="0"/>
          <w:numId w:val="1"/>
        </w:numPr>
        <w:spacing w:after="240" w:line="240" w:lineRule="auto"/>
        <w:ind w:left="360"/>
        <w:contextualSpacing w:val="0"/>
        <w:jc w:val="both"/>
        <w:rPr>
          <w:lang w:eastAsia="zh-CN"/>
        </w:rPr>
      </w:pPr>
      <w:r w:rsidRPr="00801F17">
        <w:rPr>
          <w:lang w:eastAsia="zh-CN"/>
        </w:rPr>
        <w:t>中华人民共和国（受援方）将在财政部和生态环境部的参与下，按照赠款协议（协议）的规定实施</w:t>
      </w:r>
      <w:r w:rsidRPr="00801F17">
        <w:rPr>
          <w:rFonts w:hint="eastAsia"/>
          <w:lang w:eastAsia="zh-CN"/>
        </w:rPr>
        <w:t>中国市场伙伴实施基金赠款项目</w:t>
      </w:r>
      <w:r w:rsidRPr="00801F17">
        <w:rPr>
          <w:lang w:eastAsia="zh-CN"/>
        </w:rPr>
        <w:t>（项目）。国际复兴开发银行（世界银行）已同意按照协议规定为该项目提供资金。</w:t>
      </w:r>
    </w:p>
    <w:p w14:paraId="3F278D2C" w14:textId="77777777" w:rsidR="009D0FFA" w:rsidRPr="00FB70F5" w:rsidRDefault="009D0FFA" w:rsidP="009D0FFA">
      <w:pPr>
        <w:pStyle w:val="a9"/>
        <w:numPr>
          <w:ilvl w:val="0"/>
          <w:numId w:val="1"/>
        </w:numPr>
        <w:spacing w:after="240" w:line="240" w:lineRule="auto"/>
        <w:ind w:left="360"/>
        <w:contextualSpacing w:val="0"/>
        <w:jc w:val="both"/>
        <w:rPr>
          <w:lang w:eastAsia="zh-CN"/>
        </w:rPr>
      </w:pPr>
      <w:r w:rsidRPr="00801F17">
        <w:rPr>
          <w:lang w:eastAsia="zh-CN"/>
        </w:rPr>
        <w:t>受援方应确保项目按照环境和社会标准（ESSs）以及本环境和社会承诺计划（ESCP）以世界银行可接受的方式实施。本ESCP是协议的组成部分。除非本ESCP另有定义，本ESCP中使用的大写术语具有协议中赋予它们的含义。</w:t>
      </w:r>
    </w:p>
    <w:p w14:paraId="6B5FA247" w14:textId="77777777" w:rsidR="009D0FFA" w:rsidRPr="00FB70F5" w:rsidRDefault="009D0FFA" w:rsidP="009D0FFA">
      <w:pPr>
        <w:pStyle w:val="a9"/>
        <w:numPr>
          <w:ilvl w:val="0"/>
          <w:numId w:val="1"/>
        </w:numPr>
        <w:spacing w:after="240" w:line="240" w:lineRule="auto"/>
        <w:ind w:left="360"/>
        <w:contextualSpacing w:val="0"/>
        <w:jc w:val="both"/>
        <w:rPr>
          <w:lang w:eastAsia="zh-CN"/>
        </w:rPr>
      </w:pPr>
      <w:r w:rsidRPr="00FB70F5">
        <w:rPr>
          <w:rFonts w:hint="eastAsia"/>
          <w:lang w:eastAsia="zh-CN"/>
        </w:rPr>
        <w:t>除上述规定外，</w:t>
      </w:r>
      <w:r w:rsidRPr="00801F17">
        <w:rPr>
          <w:lang w:eastAsia="zh-CN"/>
        </w:rPr>
        <w:t>本ESCP规定了受援方应</w:t>
      </w:r>
      <w:r w:rsidRPr="00FB70F5">
        <w:rPr>
          <w:rFonts w:hint="eastAsia"/>
          <w:lang w:eastAsia="zh-CN"/>
        </w:rPr>
        <w:t>采取</w:t>
      </w:r>
      <w:r w:rsidRPr="00801F17">
        <w:rPr>
          <w:lang w:eastAsia="zh-CN"/>
        </w:rPr>
        <w:t>或促使执行的实质性措施和行动，如适用</w:t>
      </w:r>
      <w:r w:rsidRPr="00FB70F5">
        <w:rPr>
          <w:rFonts w:hint="eastAsia"/>
          <w:lang w:eastAsia="zh-CN"/>
        </w:rPr>
        <w:t>，</w:t>
      </w:r>
      <w:r w:rsidRPr="00801F17">
        <w:rPr>
          <w:lang w:eastAsia="zh-CN"/>
        </w:rPr>
        <w:t>包括其各自的时间表、机构</w:t>
      </w:r>
      <w:r w:rsidRPr="00FB70F5">
        <w:rPr>
          <w:rFonts w:hint="eastAsia"/>
          <w:lang w:eastAsia="zh-CN"/>
        </w:rPr>
        <w:t>安排</w:t>
      </w:r>
      <w:r w:rsidRPr="00801F17">
        <w:rPr>
          <w:lang w:eastAsia="zh-CN"/>
        </w:rPr>
        <w:t>、人员配置、培训、监测和报告安排以及申诉管理。</w:t>
      </w:r>
      <w:r w:rsidRPr="00FB70F5">
        <w:rPr>
          <w:rFonts w:hint="eastAsia"/>
          <w:lang w:eastAsia="zh-CN"/>
        </w:rPr>
        <w:t>本</w:t>
      </w:r>
      <w:r w:rsidRPr="00801F17">
        <w:rPr>
          <w:lang w:eastAsia="zh-CN"/>
        </w:rPr>
        <w:t>ESCP还规定了应根据环境和社会标准（ESSs）编制或更新、咨询、披露和实施的环境和社会（E&amp;S）文件，其形式和内容应为世界银行所接受。</w:t>
      </w:r>
      <w:r w:rsidRPr="00FB70F5">
        <w:rPr>
          <w:rFonts w:hint="eastAsia"/>
          <w:lang w:eastAsia="zh-CN"/>
        </w:rPr>
        <w:t>经银行事先书面同意，上述E&amp;S文件可随时进行修订。</w:t>
      </w:r>
      <w:r w:rsidRPr="00801F17">
        <w:rPr>
          <w:lang w:eastAsia="zh-CN"/>
        </w:rPr>
        <w:t>根据上述协议的规定，受援方应确保有足够的资金可用于支付实施ESCP的费用。</w:t>
      </w:r>
    </w:p>
    <w:p w14:paraId="7D0854F8" w14:textId="77777777" w:rsidR="009D0FFA" w:rsidRDefault="009D0FFA" w:rsidP="009D0FFA">
      <w:pPr>
        <w:pStyle w:val="a9"/>
        <w:numPr>
          <w:ilvl w:val="0"/>
          <w:numId w:val="1"/>
        </w:numPr>
        <w:spacing w:after="240" w:line="240" w:lineRule="auto"/>
        <w:ind w:left="360"/>
        <w:contextualSpacing w:val="0"/>
        <w:jc w:val="both"/>
        <w:rPr>
          <w:lang w:eastAsia="zh-CN"/>
        </w:rPr>
      </w:pPr>
      <w:r w:rsidRPr="00FB70F5">
        <w:rPr>
          <w:rFonts w:hint="eastAsia"/>
          <w:lang w:eastAsia="zh-CN"/>
        </w:rPr>
        <w:t>经银行和受援方同意，在项目实施过程中，可根据需要，不时对本ESCP进行修订更新，以便对项目变动和不可预见情况进行动态管理，或者根据项目绩效评估做出调整。</w:t>
      </w:r>
      <w:r w:rsidRPr="00FB70F5">
        <w:rPr>
          <w:lang w:eastAsia="zh-CN"/>
        </w:rPr>
        <w:t>在这种情况下，世界银行和受援方同意通过世界银行与协议中指定的受援方代表或</w:t>
      </w:r>
      <w:r w:rsidRPr="00FB70F5">
        <w:rPr>
          <w:rFonts w:hint="eastAsia"/>
          <w:lang w:eastAsia="zh-CN"/>
        </w:rPr>
        <w:t>生态环境部对外合作与交流中心</w:t>
      </w:r>
      <w:r w:rsidRPr="00FB70F5">
        <w:rPr>
          <w:lang w:eastAsia="zh-CN"/>
        </w:rPr>
        <w:t>（FECO）项目管理办公室（FECO PMO）[指定官员职位，即主任]之间签署的信函</w:t>
      </w:r>
      <w:r w:rsidRPr="00FB70F5">
        <w:rPr>
          <w:rFonts w:hint="eastAsia"/>
          <w:lang w:eastAsia="zh-CN"/>
        </w:rPr>
        <w:t>交换，更新ESCP以反映这些变化。</w:t>
      </w:r>
      <w:r w:rsidRPr="00FB70F5">
        <w:rPr>
          <w:lang w:eastAsia="zh-CN"/>
        </w:rPr>
        <w:t>受援方应通过FECO PMO及时披露更新后的ESCP。</w:t>
      </w:r>
    </w:p>
    <w:p w14:paraId="1CC1B243" w14:textId="43B098A4" w:rsidR="009D0FFA" w:rsidRDefault="009D0FFA" w:rsidP="009D0FFA">
      <w:pPr>
        <w:pStyle w:val="a9"/>
        <w:numPr>
          <w:ilvl w:val="0"/>
          <w:numId w:val="1"/>
        </w:numPr>
        <w:spacing w:after="240" w:line="240" w:lineRule="auto"/>
        <w:ind w:left="360"/>
        <w:contextualSpacing w:val="0"/>
        <w:jc w:val="both"/>
        <w:rPr>
          <w:lang w:eastAsia="zh-CN"/>
        </w:rPr>
      </w:pPr>
      <w:r w:rsidRPr="0089124E">
        <w:rPr>
          <w:rFonts w:hint="eastAsia"/>
          <w:lang w:eastAsia="zh-CN"/>
        </w:rPr>
        <w:t>下文关于“实施准备情况指标”的小节确定了需要监测的行动和措施，以评估项目根据本ESCP开始实施的准备情况。然而，本ESCP内的所有行动和措施，不论是否列在上述分节内，均须按下文“时间框架”一栏内的规定执行</w:t>
      </w:r>
      <w:r>
        <w:rPr>
          <w:rFonts w:hint="eastAsia"/>
          <w:lang w:eastAsia="zh-CN"/>
        </w:rPr>
        <w:t>。</w:t>
      </w:r>
    </w:p>
    <w:p w14:paraId="73023A1D" w14:textId="77777777" w:rsidR="009315DF" w:rsidRDefault="009315DF" w:rsidP="009315DF">
      <w:pPr>
        <w:spacing w:after="240" w:line="240" w:lineRule="auto"/>
        <w:jc w:val="both"/>
        <w:rPr>
          <w:lang w:eastAsia="zh-CN"/>
        </w:rPr>
      </w:pPr>
    </w:p>
    <w:p w14:paraId="6F46FF24" w14:textId="77777777" w:rsidR="009315DF" w:rsidRDefault="009315DF" w:rsidP="009315DF">
      <w:pPr>
        <w:spacing w:after="240" w:line="240" w:lineRule="auto"/>
        <w:jc w:val="both"/>
        <w:rPr>
          <w:lang w:eastAsia="zh-CN"/>
        </w:rPr>
      </w:pPr>
    </w:p>
    <w:p w14:paraId="72B6230E" w14:textId="77777777" w:rsidR="00D27BFA" w:rsidRDefault="00D27BFA" w:rsidP="00D27BFA">
      <w:pPr>
        <w:pStyle w:val="a9"/>
        <w:spacing w:after="240" w:line="240" w:lineRule="auto"/>
        <w:ind w:left="360"/>
        <w:contextualSpacing w:val="0"/>
        <w:jc w:val="both"/>
        <w:rPr>
          <w:lang w:eastAsia="zh-CN"/>
        </w:rPr>
        <w:sectPr w:rsidR="00D27BFA" w:rsidSect="00EE277F">
          <w:footerReference w:type="even" r:id="rId8"/>
          <w:footerReference w:type="default" r:id="rId9"/>
          <w:pgSz w:w="11900" w:h="16840"/>
          <w:pgMar w:top="1440" w:right="1800" w:bottom="1440" w:left="1800" w:header="851" w:footer="992" w:gutter="0"/>
          <w:cols w:space="425"/>
          <w:docGrid w:type="lines" w:linePitch="312"/>
        </w:sectPr>
      </w:pPr>
    </w:p>
    <w:p w14:paraId="432888B6" w14:textId="77777777" w:rsidR="00D27BFA" w:rsidRDefault="00D27BFA" w:rsidP="00D27BFA">
      <w:pPr>
        <w:pStyle w:val="a9"/>
        <w:spacing w:after="240" w:line="240" w:lineRule="auto"/>
        <w:ind w:left="360"/>
        <w:contextualSpacing w:val="0"/>
        <w:jc w:val="both"/>
        <w:rPr>
          <w:lang w:eastAsia="zh-CN"/>
        </w:rPr>
      </w:pPr>
    </w:p>
    <w:p w14:paraId="5BDA8CC9" w14:textId="77777777" w:rsidR="00813212" w:rsidRDefault="00813212" w:rsidP="00D27BFA">
      <w:pPr>
        <w:pStyle w:val="a9"/>
        <w:spacing w:after="240" w:line="240" w:lineRule="auto"/>
        <w:ind w:left="360"/>
        <w:contextualSpacing w:val="0"/>
        <w:jc w:val="both"/>
        <w:rPr>
          <w:lang w:eastAsia="zh-CN"/>
        </w:rPr>
      </w:pPr>
    </w:p>
    <w:tbl>
      <w:tblPr>
        <w:tblStyle w:val="af2"/>
        <w:tblW w:w="14305" w:type="dxa"/>
        <w:tblLayout w:type="fixed"/>
        <w:tblCellMar>
          <w:left w:w="115" w:type="dxa"/>
          <w:right w:w="115" w:type="dxa"/>
        </w:tblCellMar>
        <w:tblLook w:val="04A0" w:firstRow="1" w:lastRow="0" w:firstColumn="1" w:lastColumn="0" w:noHBand="0" w:noVBand="1"/>
      </w:tblPr>
      <w:tblGrid>
        <w:gridCol w:w="625"/>
        <w:gridCol w:w="8370"/>
        <w:gridCol w:w="3150"/>
        <w:gridCol w:w="2160"/>
      </w:tblGrid>
      <w:tr w:rsidR="00D27BFA" w:rsidRPr="00302478" w14:paraId="73360356" w14:textId="77777777" w:rsidTr="003A1A0F">
        <w:trPr>
          <w:cantSplit/>
          <w:trHeight w:val="56"/>
          <w:tblHeader/>
        </w:trPr>
        <w:tc>
          <w:tcPr>
            <w:tcW w:w="8995" w:type="dxa"/>
            <w:gridSpan w:val="2"/>
            <w:tcBorders>
              <w:top w:val="single" w:sz="4" w:space="0" w:color="000000" w:themeColor="text1"/>
            </w:tcBorders>
            <w:shd w:val="clear" w:color="auto" w:fill="B3E5A1" w:themeFill="accent6" w:themeFillTint="66"/>
          </w:tcPr>
          <w:p w14:paraId="24FADD41" w14:textId="77777777" w:rsidR="00D27BFA" w:rsidRPr="00801F17" w:rsidRDefault="00D27BFA" w:rsidP="003A1A0F">
            <w:pPr>
              <w:keepLines/>
              <w:widowControl w:val="0"/>
              <w:rPr>
                <w:rFonts w:ascii="Corbel" w:hAnsi="Corbel"/>
                <w:b/>
                <w:bCs/>
                <w:color w:val="FF0000"/>
                <w:sz w:val="20"/>
                <w:szCs w:val="20"/>
                <w:lang w:eastAsia="zh-CN"/>
              </w:rPr>
            </w:pPr>
            <w:r w:rsidRPr="00801F17">
              <w:rPr>
                <w:rFonts w:ascii="Corbel" w:hAnsi="Corbel" w:hint="eastAsia"/>
                <w:b/>
                <w:bCs/>
                <w:color w:val="000000" w:themeColor="text1"/>
                <w:sz w:val="20"/>
                <w:szCs w:val="20"/>
                <w:lang w:eastAsia="zh-CN"/>
              </w:rPr>
              <w:t>实质性措施与行动</w:t>
            </w:r>
          </w:p>
        </w:tc>
        <w:tc>
          <w:tcPr>
            <w:tcW w:w="3150" w:type="dxa"/>
            <w:tcBorders>
              <w:top w:val="single" w:sz="4" w:space="0" w:color="000000" w:themeColor="text1"/>
            </w:tcBorders>
            <w:shd w:val="clear" w:color="auto" w:fill="B3E5A1" w:themeFill="accent6" w:themeFillTint="66"/>
          </w:tcPr>
          <w:p w14:paraId="4706BD3C" w14:textId="77777777" w:rsidR="00D27BFA" w:rsidRPr="00302478" w:rsidRDefault="00D27BFA" w:rsidP="003A1A0F">
            <w:pPr>
              <w:keepLines/>
              <w:widowControl w:val="0"/>
              <w:jc w:val="center"/>
              <w:rPr>
                <w:rFonts w:cstheme="minorHAnsi"/>
                <w:b/>
                <w:sz w:val="20"/>
                <w:szCs w:val="20"/>
                <w:lang w:eastAsia="zh-CN"/>
              </w:rPr>
            </w:pPr>
            <w:r>
              <w:rPr>
                <w:rFonts w:ascii="宋体" w:hAnsi="宋体" w:cstheme="minorHAnsi" w:hint="eastAsia"/>
                <w:b/>
                <w:sz w:val="20"/>
                <w:szCs w:val="20"/>
                <w:lang w:eastAsia="zh-CN"/>
              </w:rPr>
              <w:t>时间框架</w:t>
            </w:r>
          </w:p>
        </w:tc>
        <w:tc>
          <w:tcPr>
            <w:tcW w:w="2160" w:type="dxa"/>
            <w:tcBorders>
              <w:top w:val="single" w:sz="4" w:space="0" w:color="000000" w:themeColor="text1"/>
            </w:tcBorders>
            <w:shd w:val="clear" w:color="auto" w:fill="B3E5A1" w:themeFill="accent6" w:themeFillTint="66"/>
          </w:tcPr>
          <w:p w14:paraId="68969098" w14:textId="77777777" w:rsidR="00D27BFA" w:rsidRPr="00302478" w:rsidRDefault="00D27BFA" w:rsidP="003A1A0F">
            <w:pPr>
              <w:keepLines/>
              <w:widowControl w:val="0"/>
              <w:jc w:val="center"/>
              <w:rPr>
                <w:rFonts w:cstheme="minorHAnsi"/>
                <w:b/>
                <w:sz w:val="20"/>
                <w:szCs w:val="20"/>
                <w:lang w:eastAsia="zh-CN"/>
              </w:rPr>
            </w:pPr>
            <w:r>
              <w:rPr>
                <w:rFonts w:ascii="宋体" w:hAnsi="宋体" w:cstheme="minorHAnsi" w:hint="eastAsia"/>
                <w:b/>
                <w:sz w:val="20"/>
                <w:szCs w:val="20"/>
                <w:lang w:eastAsia="zh-CN"/>
              </w:rPr>
              <w:t>负责部门</w:t>
            </w:r>
          </w:p>
        </w:tc>
      </w:tr>
      <w:tr w:rsidR="00D27BFA" w:rsidRPr="00302478" w14:paraId="5E74D21F" w14:textId="77777777" w:rsidTr="003A1A0F">
        <w:trPr>
          <w:cantSplit/>
          <w:trHeight w:val="20"/>
        </w:trPr>
        <w:tc>
          <w:tcPr>
            <w:tcW w:w="14305" w:type="dxa"/>
            <w:gridSpan w:val="4"/>
            <w:tcBorders>
              <w:bottom w:val="single" w:sz="4" w:space="0" w:color="auto"/>
            </w:tcBorders>
            <w:shd w:val="clear" w:color="auto" w:fill="F1A983" w:themeFill="accent2" w:themeFillTint="99"/>
          </w:tcPr>
          <w:p w14:paraId="7A2AFE90" w14:textId="482110B3" w:rsidR="00D27BFA" w:rsidRPr="00302478" w:rsidRDefault="00D27BFA" w:rsidP="003A1A0F">
            <w:pPr>
              <w:keepLines/>
              <w:widowControl w:val="0"/>
              <w:rPr>
                <w:rFonts w:cstheme="minorHAnsi"/>
                <w:b/>
                <w:sz w:val="20"/>
                <w:szCs w:val="20"/>
                <w:lang w:eastAsia="zh-CN"/>
              </w:rPr>
            </w:pPr>
            <w:r>
              <w:rPr>
                <w:rFonts w:ascii="宋体" w:hAnsi="宋体" w:hint="eastAsia"/>
                <w:b/>
                <w:bCs/>
                <w:sz w:val="20"/>
                <w:szCs w:val="20"/>
                <w:lang w:eastAsia="zh-CN"/>
              </w:rPr>
              <w:t>执行安排和能力支持</w:t>
            </w:r>
          </w:p>
        </w:tc>
      </w:tr>
      <w:tr w:rsidR="00D27BFA" w:rsidRPr="00302478" w14:paraId="04362A3C" w14:textId="77777777" w:rsidTr="003A1A0F">
        <w:trPr>
          <w:cantSplit/>
          <w:trHeight w:val="20"/>
        </w:trPr>
        <w:tc>
          <w:tcPr>
            <w:tcW w:w="625" w:type="dxa"/>
            <w:tcBorders>
              <w:bottom w:val="single" w:sz="4" w:space="0" w:color="auto"/>
            </w:tcBorders>
            <w:shd w:val="clear" w:color="auto" w:fill="auto"/>
          </w:tcPr>
          <w:p w14:paraId="42ADDA2F" w14:textId="77777777" w:rsidR="00D27BFA" w:rsidRPr="00302478" w:rsidRDefault="00D27BFA" w:rsidP="003A1A0F">
            <w:pPr>
              <w:keepLines/>
              <w:widowControl w:val="0"/>
              <w:rPr>
                <w:rFonts w:cstheme="minorHAnsi"/>
                <w:b/>
                <w:sz w:val="20"/>
                <w:szCs w:val="20"/>
              </w:rPr>
            </w:pPr>
            <w:r w:rsidRPr="00302478">
              <w:rPr>
                <w:rFonts w:cstheme="minorHAnsi"/>
                <w:sz w:val="20"/>
                <w:szCs w:val="20"/>
              </w:rPr>
              <w:t>A</w:t>
            </w:r>
          </w:p>
        </w:tc>
        <w:tc>
          <w:tcPr>
            <w:tcW w:w="8370" w:type="dxa"/>
            <w:tcBorders>
              <w:bottom w:val="single" w:sz="4" w:space="0" w:color="auto"/>
            </w:tcBorders>
            <w:shd w:val="clear" w:color="auto" w:fill="auto"/>
          </w:tcPr>
          <w:p w14:paraId="5113E757" w14:textId="0EAD5A21" w:rsidR="00D27BFA" w:rsidRPr="00D27BFA" w:rsidRDefault="00D27BFA" w:rsidP="003A1A0F">
            <w:pPr>
              <w:keepLines/>
              <w:widowControl w:val="0"/>
              <w:rPr>
                <w:rFonts w:ascii="宋体" w:hAnsi="宋体" w:cstheme="minorHAnsi"/>
                <w:b/>
                <w:color w:val="156082" w:themeColor="accent1"/>
                <w:sz w:val="20"/>
                <w:szCs w:val="20"/>
                <w:lang w:eastAsia="zh-CN"/>
              </w:rPr>
            </w:pPr>
            <w:r>
              <w:rPr>
                <w:rFonts w:ascii="宋体" w:hAnsi="宋体" w:cstheme="minorHAnsi" w:hint="eastAsia"/>
                <w:b/>
                <w:color w:val="156082" w:themeColor="accent1"/>
                <w:sz w:val="20"/>
                <w:szCs w:val="20"/>
                <w:lang w:eastAsia="zh-CN"/>
              </w:rPr>
              <w:t>组织架构</w:t>
            </w:r>
          </w:p>
          <w:p w14:paraId="039EC30F" w14:textId="77777777" w:rsidR="00D27BFA" w:rsidRDefault="00D27BFA" w:rsidP="003A1A0F">
            <w:pPr>
              <w:keepLines/>
              <w:widowControl w:val="0"/>
              <w:rPr>
                <w:rFonts w:ascii="宋体" w:hAnsi="宋体"/>
                <w:sz w:val="20"/>
                <w:szCs w:val="20"/>
                <w:lang w:eastAsia="zh-CN"/>
              </w:rPr>
            </w:pPr>
            <w:r>
              <w:rPr>
                <w:rFonts w:ascii="宋体" w:hAnsi="宋体" w:hint="eastAsia"/>
                <w:sz w:val="20"/>
                <w:szCs w:val="20"/>
                <w:lang w:eastAsia="zh-CN"/>
              </w:rPr>
              <w:t>在</w:t>
            </w:r>
            <w:r>
              <w:rPr>
                <w:rFonts w:ascii="宋体" w:hAnsi="宋体" w:hint="eastAsia"/>
                <w:sz w:val="20"/>
                <w:szCs w:val="20"/>
                <w:lang w:eastAsia="zh-CN"/>
              </w:rPr>
              <w:t>FECO</w:t>
            </w:r>
            <w:r>
              <w:rPr>
                <w:rFonts w:ascii="宋体" w:hAnsi="宋体" w:hint="eastAsia"/>
                <w:sz w:val="20"/>
                <w:szCs w:val="20"/>
                <w:lang w:eastAsia="zh-CN"/>
              </w:rPr>
              <w:t>项目管理办公室（</w:t>
            </w:r>
            <w:r>
              <w:rPr>
                <w:rFonts w:ascii="宋体" w:hAnsi="宋体" w:hint="eastAsia"/>
                <w:sz w:val="20"/>
                <w:szCs w:val="20"/>
                <w:lang w:eastAsia="zh-CN"/>
              </w:rPr>
              <w:t>PMO</w:t>
            </w:r>
            <w:r>
              <w:rPr>
                <w:rFonts w:ascii="宋体" w:hAnsi="宋体" w:hint="eastAsia"/>
                <w:sz w:val="20"/>
                <w:szCs w:val="20"/>
                <w:lang w:eastAsia="zh-CN"/>
              </w:rPr>
              <w:t>）内，根据世行可接受的职权范围和资格，任命并保持至少一名环境工作人员和一名社会工作人员，并具备相关专业知识（例如劳工、职业健康与安全（</w:t>
            </w:r>
            <w:r>
              <w:rPr>
                <w:rFonts w:ascii="宋体" w:hAnsi="宋体" w:hint="eastAsia"/>
                <w:sz w:val="20"/>
                <w:szCs w:val="20"/>
                <w:lang w:eastAsia="zh-CN"/>
              </w:rPr>
              <w:t>OHS</w:t>
            </w:r>
            <w:r>
              <w:rPr>
                <w:rFonts w:ascii="宋体" w:hAnsi="宋体" w:hint="eastAsia"/>
                <w:sz w:val="20"/>
                <w:szCs w:val="20"/>
                <w:lang w:eastAsia="zh-CN"/>
              </w:rPr>
              <w:t>）、社区健康与安全以及利益相关者参与等），协调和监督相关的环境与社会事务，并分配充足的财政资源，以支持对项目环境社会风险和影响的管理；符合</w:t>
            </w:r>
            <w:r>
              <w:rPr>
                <w:rFonts w:ascii="宋体" w:hAnsi="宋体" w:hint="eastAsia"/>
                <w:sz w:val="20"/>
                <w:szCs w:val="20"/>
                <w:lang w:eastAsia="zh-CN"/>
              </w:rPr>
              <w:t>ESCP</w:t>
            </w:r>
            <w:r>
              <w:rPr>
                <w:rFonts w:ascii="宋体" w:hAnsi="宋体" w:hint="eastAsia"/>
                <w:sz w:val="20"/>
                <w:szCs w:val="20"/>
                <w:lang w:eastAsia="zh-CN"/>
              </w:rPr>
              <w:t>，相关的</w:t>
            </w:r>
            <w:r>
              <w:rPr>
                <w:rFonts w:ascii="宋体" w:hAnsi="宋体" w:hint="eastAsia"/>
                <w:sz w:val="20"/>
                <w:szCs w:val="20"/>
                <w:lang w:eastAsia="zh-CN"/>
              </w:rPr>
              <w:t>E&amp;S</w:t>
            </w:r>
            <w:r>
              <w:rPr>
                <w:rFonts w:ascii="宋体" w:hAnsi="宋体" w:hint="eastAsia"/>
                <w:sz w:val="20"/>
                <w:szCs w:val="20"/>
                <w:lang w:eastAsia="zh-CN"/>
              </w:rPr>
              <w:t>评估，</w:t>
            </w:r>
            <w:r>
              <w:rPr>
                <w:rFonts w:ascii="宋体" w:hAnsi="宋体" w:hint="eastAsia"/>
                <w:sz w:val="20"/>
                <w:szCs w:val="20"/>
                <w:lang w:eastAsia="zh-CN"/>
              </w:rPr>
              <w:t>E&amp;S</w:t>
            </w:r>
            <w:r>
              <w:rPr>
                <w:rFonts w:ascii="宋体" w:hAnsi="宋体" w:hint="eastAsia"/>
                <w:sz w:val="20"/>
                <w:szCs w:val="20"/>
                <w:lang w:eastAsia="zh-CN"/>
              </w:rPr>
              <w:t>行动计划，程序（例如</w:t>
            </w:r>
            <w:r>
              <w:rPr>
                <w:rFonts w:ascii="宋体" w:hAnsi="宋体" w:hint="eastAsia"/>
                <w:sz w:val="20"/>
                <w:szCs w:val="20"/>
                <w:lang w:eastAsia="zh-CN"/>
              </w:rPr>
              <w:t>SEP</w:t>
            </w:r>
            <w:r>
              <w:rPr>
                <w:rFonts w:ascii="宋体" w:hAnsi="宋体" w:hint="eastAsia"/>
                <w:sz w:val="20"/>
                <w:szCs w:val="20"/>
                <w:lang w:eastAsia="zh-CN"/>
              </w:rPr>
              <w:t>）。</w:t>
            </w:r>
          </w:p>
          <w:p w14:paraId="7CADD0BD" w14:textId="77777777" w:rsidR="00D27BFA" w:rsidRDefault="00D27BFA" w:rsidP="003A1A0F">
            <w:pPr>
              <w:keepLines/>
              <w:widowControl w:val="0"/>
              <w:rPr>
                <w:rFonts w:ascii="宋体" w:hAnsi="宋体"/>
                <w:sz w:val="20"/>
                <w:szCs w:val="20"/>
                <w:lang w:eastAsia="zh-CN"/>
              </w:rPr>
            </w:pPr>
          </w:p>
          <w:p w14:paraId="332DEF01" w14:textId="77777777" w:rsidR="00D27BFA" w:rsidRPr="00E80B25" w:rsidRDefault="00D27BFA" w:rsidP="003A1A0F">
            <w:pPr>
              <w:keepLines/>
              <w:widowControl w:val="0"/>
              <w:rPr>
                <w:rFonts w:cstheme="minorHAnsi"/>
                <w:b/>
                <w:lang w:eastAsia="zh-CN"/>
              </w:rPr>
            </w:pPr>
            <w:r>
              <w:rPr>
                <w:rFonts w:ascii="宋体" w:hAnsi="宋体" w:hint="eastAsia"/>
                <w:sz w:val="20"/>
                <w:szCs w:val="20"/>
                <w:lang w:eastAsia="zh-CN"/>
              </w:rPr>
              <w:t>确保行政审批活动的每个咨询实体至少包括一名符合世界银行可接受的职权范围和资格合格的社会专家和一名合格的环境专家，以评估潜在的下游环境与安全风险和影响，并提出符合环境影响评估、环境影响评估和利益相关者参与计划（</w:t>
            </w:r>
            <w:r>
              <w:rPr>
                <w:rFonts w:ascii="宋体" w:hAnsi="宋体" w:hint="eastAsia"/>
                <w:sz w:val="20"/>
                <w:szCs w:val="20"/>
                <w:lang w:eastAsia="zh-CN"/>
              </w:rPr>
              <w:t>SEP</w:t>
            </w:r>
            <w:r>
              <w:rPr>
                <w:rFonts w:ascii="宋体" w:hAnsi="宋体" w:hint="eastAsia"/>
                <w:sz w:val="20"/>
                <w:szCs w:val="20"/>
                <w:lang w:eastAsia="zh-CN"/>
              </w:rPr>
              <w:t>）的缓解措施建议。</w:t>
            </w:r>
          </w:p>
        </w:tc>
        <w:tc>
          <w:tcPr>
            <w:tcW w:w="3150" w:type="dxa"/>
            <w:tcBorders>
              <w:bottom w:val="single" w:sz="4" w:space="0" w:color="auto"/>
            </w:tcBorders>
            <w:shd w:val="clear" w:color="auto" w:fill="auto"/>
          </w:tcPr>
          <w:p w14:paraId="0436B516" w14:textId="77777777" w:rsidR="00D27BFA" w:rsidRDefault="00D27BFA" w:rsidP="003A1A0F">
            <w:pPr>
              <w:keepLines/>
              <w:widowControl w:val="0"/>
              <w:rPr>
                <w:rFonts w:ascii="宋体" w:hAnsi="宋体"/>
                <w:sz w:val="20"/>
                <w:szCs w:val="20"/>
                <w:lang w:eastAsia="zh-CN"/>
              </w:rPr>
            </w:pPr>
            <w:r>
              <w:rPr>
                <w:rFonts w:ascii="宋体" w:hAnsi="宋体" w:hint="eastAsia"/>
                <w:sz w:val="20"/>
                <w:szCs w:val="20"/>
                <w:lang w:eastAsia="zh-CN"/>
              </w:rPr>
              <w:t>a.</w:t>
            </w:r>
            <w:r>
              <w:rPr>
                <w:rFonts w:ascii="宋体" w:hAnsi="宋体" w:hint="eastAsia"/>
                <w:sz w:val="20"/>
                <w:szCs w:val="20"/>
                <w:lang w:eastAsia="zh-CN"/>
              </w:rPr>
              <w:t>在赠款</w:t>
            </w:r>
            <w:r w:rsidRPr="000A6C61">
              <w:rPr>
                <w:rFonts w:ascii="宋体" w:hAnsi="宋体" w:hint="eastAsia"/>
                <w:sz w:val="20"/>
                <w:szCs w:val="20"/>
                <w:lang w:eastAsia="zh-CN"/>
              </w:rPr>
              <w:t>协议</w:t>
            </w:r>
            <w:r>
              <w:rPr>
                <w:rFonts w:ascii="宋体" w:hAnsi="宋体" w:hint="eastAsia"/>
                <w:sz w:val="20"/>
                <w:szCs w:val="20"/>
                <w:lang w:eastAsia="zh-CN"/>
              </w:rPr>
              <w:t>生效后的一个月内，或在第一个技术援助活动实施招标程序之前（以较早者为准），任命环境与社会人员，并在项目实施期间保持这些职位。</w:t>
            </w:r>
          </w:p>
          <w:p w14:paraId="41CDB78D" w14:textId="77777777" w:rsidR="00D27BFA" w:rsidRPr="000A6C61" w:rsidRDefault="00D27BFA" w:rsidP="003A1A0F">
            <w:pPr>
              <w:keepLines/>
              <w:widowControl w:val="0"/>
              <w:rPr>
                <w:rFonts w:ascii="宋体" w:hAnsi="宋体"/>
                <w:sz w:val="20"/>
                <w:szCs w:val="20"/>
                <w:lang w:eastAsia="zh-CN"/>
              </w:rPr>
            </w:pPr>
          </w:p>
          <w:p w14:paraId="0C077CA9" w14:textId="77777777" w:rsidR="00D27BFA" w:rsidRDefault="00D27BFA" w:rsidP="003A1A0F">
            <w:pPr>
              <w:keepLines/>
              <w:widowControl w:val="0"/>
              <w:rPr>
                <w:rFonts w:ascii="宋体" w:hAnsi="宋体"/>
                <w:sz w:val="20"/>
                <w:szCs w:val="20"/>
                <w:lang w:eastAsia="zh-CN"/>
              </w:rPr>
            </w:pPr>
            <w:r>
              <w:rPr>
                <w:rFonts w:ascii="宋体" w:hAnsi="宋体" w:hint="eastAsia"/>
                <w:sz w:val="20"/>
                <w:szCs w:val="20"/>
                <w:lang w:eastAsia="zh-CN"/>
              </w:rPr>
              <w:t>b.</w:t>
            </w:r>
            <w:r>
              <w:rPr>
                <w:rFonts w:ascii="宋体" w:hAnsi="宋体" w:hint="eastAsia"/>
                <w:sz w:val="20"/>
                <w:szCs w:val="20"/>
                <w:lang w:eastAsia="zh-CN"/>
              </w:rPr>
              <w:t>在相关技术援助活动实施招标程序之前，以及整个活动实施过程中。</w:t>
            </w:r>
          </w:p>
          <w:p w14:paraId="17FE75D1" w14:textId="77777777" w:rsidR="00D27BFA" w:rsidRPr="00813212" w:rsidRDefault="00D27BFA" w:rsidP="003A1A0F">
            <w:pPr>
              <w:keepLines/>
              <w:widowControl w:val="0"/>
              <w:rPr>
                <w:rFonts w:cstheme="minorHAnsi"/>
                <w:b/>
                <w:sz w:val="20"/>
                <w:szCs w:val="20"/>
                <w:lang w:eastAsia="zh-CN"/>
              </w:rPr>
            </w:pPr>
          </w:p>
        </w:tc>
        <w:tc>
          <w:tcPr>
            <w:tcW w:w="2160" w:type="dxa"/>
            <w:tcBorders>
              <w:bottom w:val="single" w:sz="4" w:space="0" w:color="auto"/>
            </w:tcBorders>
            <w:shd w:val="clear" w:color="auto" w:fill="auto"/>
          </w:tcPr>
          <w:p w14:paraId="17FA9BC2" w14:textId="77777777" w:rsidR="00D27BFA" w:rsidRPr="00302478" w:rsidRDefault="00D27BFA" w:rsidP="003A1A0F">
            <w:pPr>
              <w:keepLines/>
              <w:widowControl w:val="0"/>
              <w:rPr>
                <w:rFonts w:cstheme="minorHAnsi"/>
                <w:b/>
                <w:sz w:val="20"/>
                <w:szCs w:val="20"/>
                <w:lang w:eastAsia="zh-CN"/>
              </w:rPr>
            </w:pPr>
            <w:r>
              <w:rPr>
                <w:rFonts w:cstheme="minorHAnsi" w:hint="eastAsia"/>
                <w:b/>
                <w:sz w:val="20"/>
                <w:szCs w:val="20"/>
                <w:lang w:eastAsia="zh-CN"/>
              </w:rPr>
              <w:t>FECO PMO</w:t>
            </w:r>
          </w:p>
        </w:tc>
      </w:tr>
      <w:tr w:rsidR="00D27BFA" w:rsidRPr="00302478" w14:paraId="17E3BE1F" w14:textId="77777777" w:rsidTr="003A1A0F">
        <w:trPr>
          <w:cantSplit/>
          <w:trHeight w:val="20"/>
        </w:trPr>
        <w:tc>
          <w:tcPr>
            <w:tcW w:w="625" w:type="dxa"/>
            <w:tcBorders>
              <w:bottom w:val="single" w:sz="4" w:space="0" w:color="auto"/>
            </w:tcBorders>
            <w:shd w:val="clear" w:color="auto" w:fill="auto"/>
          </w:tcPr>
          <w:p w14:paraId="2CFF0196" w14:textId="77777777" w:rsidR="00D27BFA" w:rsidRPr="00302478" w:rsidRDefault="00D27BFA" w:rsidP="003A1A0F">
            <w:pPr>
              <w:keepLines/>
              <w:widowControl w:val="0"/>
              <w:rPr>
                <w:rFonts w:cstheme="minorHAnsi"/>
                <w:b/>
                <w:sz w:val="20"/>
                <w:szCs w:val="20"/>
              </w:rPr>
            </w:pPr>
            <w:r w:rsidRPr="00302478">
              <w:rPr>
                <w:rFonts w:cstheme="minorHAnsi"/>
                <w:sz w:val="20"/>
                <w:szCs w:val="20"/>
              </w:rPr>
              <w:lastRenderedPageBreak/>
              <w:t>B</w:t>
            </w:r>
          </w:p>
        </w:tc>
        <w:tc>
          <w:tcPr>
            <w:tcW w:w="8370" w:type="dxa"/>
            <w:tcBorders>
              <w:bottom w:val="single" w:sz="4" w:space="0" w:color="auto"/>
            </w:tcBorders>
            <w:shd w:val="clear" w:color="auto" w:fill="auto"/>
          </w:tcPr>
          <w:p w14:paraId="4DEC9D66" w14:textId="77777777" w:rsidR="00D27BFA" w:rsidRDefault="00D27BFA" w:rsidP="003A1A0F">
            <w:pPr>
              <w:keepLines/>
              <w:widowControl w:val="0"/>
              <w:rPr>
                <w:rFonts w:ascii="宋体" w:hAnsi="宋体" w:cstheme="minorHAnsi"/>
                <w:b/>
                <w:color w:val="156082" w:themeColor="accent1"/>
                <w:sz w:val="20"/>
                <w:szCs w:val="20"/>
                <w:lang w:eastAsia="zh-CN"/>
              </w:rPr>
            </w:pPr>
            <w:r>
              <w:rPr>
                <w:rFonts w:ascii="宋体" w:hAnsi="宋体" w:cstheme="minorHAnsi" w:hint="eastAsia"/>
                <w:b/>
                <w:color w:val="156082" w:themeColor="accent1"/>
                <w:sz w:val="20"/>
                <w:szCs w:val="20"/>
                <w:lang w:eastAsia="zh-CN"/>
              </w:rPr>
              <w:t>能力建设计划及措施</w:t>
            </w:r>
          </w:p>
          <w:p w14:paraId="095F3DF5" w14:textId="77777777" w:rsidR="00D27BFA" w:rsidRPr="00765294" w:rsidRDefault="00D27BFA" w:rsidP="003A1A0F">
            <w:pPr>
              <w:rPr>
                <w:rFonts w:cstheme="minorHAnsi"/>
                <w:bCs/>
                <w:color w:val="000000" w:themeColor="text1"/>
                <w:sz w:val="20"/>
                <w:szCs w:val="20"/>
                <w:lang w:eastAsia="zh-CN"/>
              </w:rPr>
            </w:pPr>
            <w:r w:rsidRPr="00765294">
              <w:rPr>
                <w:rFonts w:cstheme="minorHAnsi"/>
                <w:bCs/>
                <w:color w:val="000000" w:themeColor="text1"/>
                <w:sz w:val="20"/>
                <w:szCs w:val="20"/>
                <w:lang w:eastAsia="zh-CN"/>
              </w:rPr>
              <w:t>根据环境和社会管理框架（ESMF）和利益相关者参与计划（SEP）中的培训计划，为FECO PMO和技术援助咨询实体的工作人员制定并实施能力建设计划，包括（但不限于）：</w:t>
            </w:r>
          </w:p>
          <w:p w14:paraId="25D882B3" w14:textId="77777777" w:rsidR="00D27BFA" w:rsidRDefault="00D27BFA" w:rsidP="003A1A0F">
            <w:pPr>
              <w:keepLines/>
              <w:widowControl w:val="0"/>
              <w:rPr>
                <w:rFonts w:cstheme="minorHAnsi"/>
                <w:sz w:val="20"/>
                <w:szCs w:val="20"/>
                <w:lang w:eastAsia="zh-CN"/>
              </w:rPr>
            </w:pPr>
            <w:r w:rsidRPr="000A6C61">
              <w:rPr>
                <w:rFonts w:cstheme="minorHAnsi"/>
                <w:sz w:val="20"/>
                <w:szCs w:val="20"/>
                <w:lang w:eastAsia="zh-CN"/>
              </w:rPr>
              <w:t>• 世界银行环境和社会框架（ESF）</w:t>
            </w:r>
          </w:p>
          <w:p w14:paraId="7E1AC452" w14:textId="77777777" w:rsidR="00D27BFA" w:rsidRDefault="00D27BFA" w:rsidP="003A1A0F">
            <w:pPr>
              <w:keepLines/>
              <w:widowControl w:val="0"/>
              <w:rPr>
                <w:rFonts w:cstheme="minorHAnsi"/>
                <w:sz w:val="20"/>
                <w:szCs w:val="20"/>
                <w:lang w:eastAsia="zh-CN"/>
              </w:rPr>
            </w:pPr>
            <w:r w:rsidRPr="000A6C61">
              <w:rPr>
                <w:rFonts w:cstheme="minorHAnsi"/>
                <w:sz w:val="20"/>
                <w:szCs w:val="20"/>
                <w:lang w:eastAsia="zh-CN"/>
              </w:rPr>
              <w:t xml:space="preserve"> • 世界银行关于技术援助和ESF的咨询说明 </w:t>
            </w:r>
          </w:p>
          <w:p w14:paraId="63EA7FF0" w14:textId="77777777" w:rsidR="00D27BFA" w:rsidRDefault="00D27BFA" w:rsidP="003A1A0F">
            <w:pPr>
              <w:keepLines/>
              <w:widowControl w:val="0"/>
              <w:rPr>
                <w:rFonts w:cstheme="minorHAnsi"/>
                <w:sz w:val="20"/>
                <w:szCs w:val="20"/>
                <w:lang w:eastAsia="zh-CN"/>
              </w:rPr>
            </w:pPr>
            <w:r w:rsidRPr="000A6C61">
              <w:rPr>
                <w:rFonts w:cstheme="minorHAnsi"/>
                <w:sz w:val="20"/>
                <w:szCs w:val="20"/>
                <w:lang w:eastAsia="zh-CN"/>
              </w:rPr>
              <w:t>• 世界银行集团的环境、健康和安全（EHS）指南</w:t>
            </w:r>
          </w:p>
          <w:p w14:paraId="363B07A9" w14:textId="77777777" w:rsidR="00D27BFA" w:rsidRDefault="00D27BFA" w:rsidP="003A1A0F">
            <w:pPr>
              <w:keepLines/>
              <w:widowControl w:val="0"/>
              <w:rPr>
                <w:rFonts w:cstheme="minorHAnsi"/>
                <w:sz w:val="20"/>
                <w:szCs w:val="20"/>
                <w:lang w:eastAsia="zh-CN"/>
              </w:rPr>
            </w:pPr>
            <w:r w:rsidRPr="000A6C61">
              <w:rPr>
                <w:rFonts w:cstheme="minorHAnsi"/>
                <w:sz w:val="20"/>
                <w:szCs w:val="20"/>
                <w:lang w:eastAsia="zh-CN"/>
              </w:rPr>
              <w:t xml:space="preserve">• 利益相关者识别、分析和参与 </w:t>
            </w:r>
          </w:p>
          <w:p w14:paraId="11A1A056" w14:textId="77777777" w:rsidR="00D27BFA" w:rsidRDefault="00D27BFA" w:rsidP="003A1A0F">
            <w:pPr>
              <w:keepLines/>
              <w:widowControl w:val="0"/>
              <w:rPr>
                <w:rFonts w:cstheme="minorHAnsi"/>
                <w:sz w:val="20"/>
                <w:szCs w:val="20"/>
                <w:lang w:eastAsia="zh-CN"/>
              </w:rPr>
            </w:pPr>
            <w:r w:rsidRPr="000A6C61">
              <w:rPr>
                <w:rFonts w:cstheme="minorHAnsi"/>
                <w:sz w:val="20"/>
                <w:szCs w:val="20"/>
                <w:lang w:eastAsia="zh-CN"/>
              </w:rPr>
              <w:t>• 环境和社会监测与评估（M&amp;E）</w:t>
            </w:r>
          </w:p>
          <w:p w14:paraId="0090B0BA" w14:textId="77777777" w:rsidR="00D27BFA" w:rsidRDefault="00D27BFA" w:rsidP="003A1A0F">
            <w:pPr>
              <w:keepLines/>
              <w:widowControl w:val="0"/>
              <w:rPr>
                <w:rFonts w:cstheme="minorHAnsi"/>
                <w:sz w:val="20"/>
                <w:szCs w:val="20"/>
                <w:lang w:eastAsia="zh-CN"/>
              </w:rPr>
            </w:pPr>
            <w:r w:rsidRPr="000A6C61">
              <w:rPr>
                <w:rFonts w:cstheme="minorHAnsi"/>
                <w:sz w:val="20"/>
                <w:szCs w:val="20"/>
                <w:lang w:eastAsia="zh-CN"/>
              </w:rPr>
              <w:t xml:space="preserve"> • 劳工管理程序（LMP）</w:t>
            </w:r>
          </w:p>
          <w:p w14:paraId="49D88CDD" w14:textId="77777777" w:rsidR="00D27BFA" w:rsidRDefault="00D27BFA" w:rsidP="003A1A0F">
            <w:pPr>
              <w:keepLines/>
              <w:widowControl w:val="0"/>
              <w:rPr>
                <w:rFonts w:cstheme="minorHAnsi"/>
                <w:sz w:val="20"/>
                <w:szCs w:val="20"/>
                <w:lang w:eastAsia="zh-CN"/>
              </w:rPr>
            </w:pPr>
            <w:r w:rsidRPr="000A6C61">
              <w:rPr>
                <w:rFonts w:cstheme="minorHAnsi"/>
                <w:sz w:val="20"/>
                <w:szCs w:val="20"/>
                <w:lang w:eastAsia="zh-CN"/>
              </w:rPr>
              <w:t xml:space="preserve"> • 职业和社区健康安全管理 </w:t>
            </w:r>
          </w:p>
          <w:p w14:paraId="13A0C418" w14:textId="77777777" w:rsidR="00D27BFA" w:rsidRDefault="00D27BFA" w:rsidP="003A1A0F">
            <w:pPr>
              <w:keepLines/>
              <w:widowControl w:val="0"/>
              <w:rPr>
                <w:rFonts w:cstheme="minorHAnsi"/>
                <w:sz w:val="20"/>
                <w:szCs w:val="20"/>
                <w:lang w:eastAsia="zh-CN"/>
              </w:rPr>
            </w:pPr>
            <w:r w:rsidRPr="000A6C61">
              <w:rPr>
                <w:rFonts w:cstheme="minorHAnsi"/>
                <w:sz w:val="20"/>
                <w:szCs w:val="20"/>
                <w:lang w:eastAsia="zh-CN"/>
              </w:rPr>
              <w:t>• 申诉处理机制（GRM）</w:t>
            </w:r>
          </w:p>
          <w:p w14:paraId="198F8870" w14:textId="77777777" w:rsidR="00D27BFA" w:rsidRDefault="00D27BFA" w:rsidP="003A1A0F">
            <w:pPr>
              <w:keepLines/>
              <w:widowControl w:val="0"/>
              <w:rPr>
                <w:rFonts w:cstheme="minorHAnsi"/>
                <w:sz w:val="20"/>
                <w:szCs w:val="20"/>
                <w:lang w:eastAsia="zh-CN"/>
              </w:rPr>
            </w:pPr>
            <w:r w:rsidRPr="000A6C61">
              <w:rPr>
                <w:rFonts w:cstheme="minorHAnsi"/>
                <w:sz w:val="20"/>
                <w:szCs w:val="20"/>
                <w:lang w:eastAsia="zh-CN"/>
              </w:rPr>
              <w:t xml:space="preserve"> • 应急准备和响应 </w:t>
            </w:r>
          </w:p>
          <w:p w14:paraId="5AB49E1A" w14:textId="02660043" w:rsidR="00D27BFA" w:rsidRDefault="00D27BFA" w:rsidP="003A1A0F">
            <w:pPr>
              <w:keepLines/>
              <w:widowControl w:val="0"/>
              <w:rPr>
                <w:rFonts w:cstheme="minorHAnsi"/>
                <w:sz w:val="20"/>
                <w:szCs w:val="20"/>
                <w:lang w:eastAsia="zh-CN"/>
              </w:rPr>
            </w:pPr>
            <w:r w:rsidRPr="000A6C61">
              <w:rPr>
                <w:rFonts w:cstheme="minorHAnsi"/>
                <w:sz w:val="20"/>
                <w:szCs w:val="20"/>
                <w:lang w:eastAsia="zh-CN"/>
              </w:rPr>
              <w:t>• 职业健康安全管理计划（OHSMP）、应急准备和响应计划等</w:t>
            </w:r>
          </w:p>
          <w:p w14:paraId="4814BC01" w14:textId="77777777" w:rsidR="00D27BFA" w:rsidRDefault="00D27BFA" w:rsidP="003A1A0F">
            <w:pPr>
              <w:keepLines/>
              <w:widowControl w:val="0"/>
              <w:rPr>
                <w:rFonts w:cstheme="minorHAnsi"/>
                <w:sz w:val="20"/>
                <w:szCs w:val="20"/>
                <w:lang w:eastAsia="zh-CN"/>
              </w:rPr>
            </w:pPr>
            <w:r w:rsidRPr="00765294">
              <w:rPr>
                <w:rFonts w:cstheme="minorHAnsi"/>
                <w:sz w:val="20"/>
                <w:szCs w:val="20"/>
                <w:lang w:eastAsia="zh-CN"/>
              </w:rPr>
              <w:t>年度培训计划应事先提交世界银行审查并获得无异议</w:t>
            </w:r>
            <w:r>
              <w:rPr>
                <w:rFonts w:cstheme="minorHAnsi" w:hint="eastAsia"/>
                <w:sz w:val="20"/>
                <w:szCs w:val="20"/>
                <w:lang w:eastAsia="zh-CN"/>
              </w:rPr>
              <w:t>意见</w:t>
            </w:r>
            <w:r w:rsidRPr="00765294">
              <w:rPr>
                <w:rFonts w:cstheme="minorHAnsi"/>
                <w:sz w:val="20"/>
                <w:szCs w:val="20"/>
                <w:lang w:eastAsia="zh-CN"/>
              </w:rPr>
              <w:t>。</w:t>
            </w:r>
          </w:p>
          <w:p w14:paraId="5E2242E1" w14:textId="77777777" w:rsidR="00813212" w:rsidRPr="00801F17" w:rsidRDefault="00813212" w:rsidP="003A1A0F">
            <w:pPr>
              <w:keepLines/>
              <w:widowControl w:val="0"/>
              <w:rPr>
                <w:rFonts w:cstheme="minorHAnsi"/>
                <w:sz w:val="20"/>
                <w:szCs w:val="20"/>
                <w:lang w:eastAsia="zh-CN"/>
              </w:rPr>
            </w:pPr>
          </w:p>
        </w:tc>
        <w:tc>
          <w:tcPr>
            <w:tcW w:w="3150" w:type="dxa"/>
            <w:tcBorders>
              <w:bottom w:val="single" w:sz="4" w:space="0" w:color="auto"/>
            </w:tcBorders>
            <w:shd w:val="clear" w:color="auto" w:fill="auto"/>
          </w:tcPr>
          <w:p w14:paraId="636CA01B" w14:textId="77777777" w:rsidR="00D27BFA" w:rsidRPr="00603D62" w:rsidRDefault="00D27BFA" w:rsidP="003A1A0F">
            <w:pPr>
              <w:keepLines/>
              <w:widowControl w:val="0"/>
              <w:rPr>
                <w:sz w:val="20"/>
                <w:szCs w:val="20"/>
                <w:lang w:eastAsia="zh-CN"/>
              </w:rPr>
            </w:pPr>
            <w:r w:rsidRPr="009E0CD3">
              <w:rPr>
                <w:rFonts w:ascii="宋体" w:hAnsi="宋体"/>
                <w:sz w:val="20"/>
                <w:szCs w:val="20"/>
                <w:lang w:eastAsia="zh-CN"/>
              </w:rPr>
              <w:t>根据年度培训计划中规定的时间表，在整个项目实施期间。</w:t>
            </w:r>
          </w:p>
        </w:tc>
        <w:tc>
          <w:tcPr>
            <w:tcW w:w="2160" w:type="dxa"/>
            <w:tcBorders>
              <w:bottom w:val="single" w:sz="4" w:space="0" w:color="auto"/>
            </w:tcBorders>
            <w:shd w:val="clear" w:color="auto" w:fill="auto"/>
          </w:tcPr>
          <w:p w14:paraId="59471B00" w14:textId="77777777" w:rsidR="00D27BFA" w:rsidRPr="00302478" w:rsidRDefault="00D27BFA" w:rsidP="003A1A0F">
            <w:pPr>
              <w:keepLines/>
              <w:widowControl w:val="0"/>
              <w:rPr>
                <w:rFonts w:cstheme="minorHAnsi"/>
                <w:b/>
                <w:sz w:val="20"/>
                <w:szCs w:val="20"/>
                <w:lang w:eastAsia="zh-CN"/>
              </w:rPr>
            </w:pPr>
            <w:r>
              <w:rPr>
                <w:rFonts w:cstheme="minorHAnsi" w:hint="eastAsia"/>
                <w:b/>
                <w:sz w:val="20"/>
                <w:szCs w:val="20"/>
                <w:lang w:eastAsia="zh-CN"/>
              </w:rPr>
              <w:t xml:space="preserve">FECO PMO </w:t>
            </w:r>
          </w:p>
        </w:tc>
      </w:tr>
      <w:tr w:rsidR="00D27BFA" w:rsidRPr="00302478" w14:paraId="2CC151A2" w14:textId="77777777" w:rsidTr="003A1A0F">
        <w:trPr>
          <w:cantSplit/>
          <w:trHeight w:val="300"/>
        </w:trPr>
        <w:tc>
          <w:tcPr>
            <w:tcW w:w="14305" w:type="dxa"/>
            <w:gridSpan w:val="4"/>
            <w:tcBorders>
              <w:bottom w:val="single" w:sz="4" w:space="0" w:color="auto"/>
            </w:tcBorders>
            <w:shd w:val="clear" w:color="auto" w:fill="F1A983" w:themeFill="accent2" w:themeFillTint="99"/>
          </w:tcPr>
          <w:p w14:paraId="17016D0D" w14:textId="77777777" w:rsidR="00D27BFA" w:rsidRPr="00302478" w:rsidDel="00777D1F" w:rsidRDefault="00D27BFA" w:rsidP="003A1A0F">
            <w:pPr>
              <w:keepLines/>
              <w:widowControl w:val="0"/>
              <w:rPr>
                <w:rFonts w:cstheme="minorHAnsi"/>
                <w:sz w:val="20"/>
                <w:szCs w:val="20"/>
                <w:lang w:eastAsia="zh-CN"/>
              </w:rPr>
            </w:pPr>
            <w:r>
              <w:rPr>
                <w:rFonts w:ascii="宋体" w:hAnsi="宋体" w:hint="eastAsia"/>
                <w:b/>
                <w:bCs/>
                <w:sz w:val="20"/>
                <w:szCs w:val="20"/>
                <w:lang w:eastAsia="zh-CN"/>
              </w:rPr>
              <w:lastRenderedPageBreak/>
              <w:t>监察与报告</w:t>
            </w:r>
          </w:p>
        </w:tc>
      </w:tr>
      <w:tr w:rsidR="00D27BFA" w:rsidRPr="00302478" w14:paraId="6143E80E" w14:textId="77777777" w:rsidTr="003A1A0F">
        <w:trPr>
          <w:trHeight w:val="20"/>
        </w:trPr>
        <w:tc>
          <w:tcPr>
            <w:tcW w:w="625" w:type="dxa"/>
            <w:tcBorders>
              <w:bottom w:val="single" w:sz="4" w:space="0" w:color="auto"/>
            </w:tcBorders>
          </w:tcPr>
          <w:p w14:paraId="0F657963" w14:textId="77777777" w:rsidR="00D27BFA" w:rsidRPr="00302478" w:rsidRDefault="00D27BFA" w:rsidP="003A1A0F">
            <w:pPr>
              <w:keepLines/>
              <w:widowControl w:val="0"/>
              <w:jc w:val="center"/>
              <w:rPr>
                <w:rFonts w:cstheme="minorHAnsi"/>
                <w:sz w:val="20"/>
                <w:szCs w:val="20"/>
              </w:rPr>
            </w:pPr>
            <w:r w:rsidRPr="00302478">
              <w:rPr>
                <w:rFonts w:cstheme="minorHAnsi"/>
                <w:sz w:val="20"/>
                <w:szCs w:val="20"/>
              </w:rPr>
              <w:t>C</w:t>
            </w:r>
          </w:p>
        </w:tc>
        <w:tc>
          <w:tcPr>
            <w:tcW w:w="8370" w:type="dxa"/>
            <w:tcBorders>
              <w:bottom w:val="single" w:sz="4" w:space="0" w:color="auto"/>
            </w:tcBorders>
          </w:tcPr>
          <w:p w14:paraId="55B1617A" w14:textId="6C9099B7" w:rsidR="00D27BFA" w:rsidRPr="00CB1EE8" w:rsidRDefault="00D27BFA" w:rsidP="003A1A0F">
            <w:pPr>
              <w:keepLines/>
              <w:widowControl w:val="0"/>
              <w:rPr>
                <w:rFonts w:ascii="宋体" w:hAnsi="宋体" w:cstheme="minorHAnsi"/>
                <w:sz w:val="20"/>
                <w:szCs w:val="20"/>
                <w:lang w:eastAsia="zh-CN"/>
              </w:rPr>
            </w:pPr>
            <w:r>
              <w:rPr>
                <w:rFonts w:ascii="宋体" w:hAnsi="宋体" w:cstheme="minorHAnsi" w:hint="eastAsia"/>
                <w:b/>
                <w:color w:val="156082" w:themeColor="accent1"/>
                <w:sz w:val="20"/>
                <w:szCs w:val="20"/>
                <w:lang w:eastAsia="zh-CN"/>
              </w:rPr>
              <w:t>定期报告</w:t>
            </w:r>
            <w:r>
              <w:rPr>
                <w:rFonts w:ascii="宋体" w:hAnsi="宋体" w:cstheme="minorHAnsi"/>
                <w:sz w:val="20"/>
                <w:szCs w:val="20"/>
                <w:lang w:eastAsia="zh-CN"/>
              </w:rPr>
              <w:t xml:space="preserve"> </w:t>
            </w:r>
          </w:p>
          <w:p w14:paraId="10F5611C" w14:textId="77777777" w:rsidR="00D27BFA" w:rsidRDefault="00D27BFA" w:rsidP="003A1A0F">
            <w:pPr>
              <w:keepLines/>
              <w:widowControl w:val="0"/>
              <w:rPr>
                <w:rFonts w:ascii="宋体" w:hAnsi="宋体"/>
                <w:sz w:val="20"/>
                <w:szCs w:val="20"/>
                <w:lang w:eastAsia="zh-CN"/>
              </w:rPr>
            </w:pPr>
            <w:r>
              <w:rPr>
                <w:rFonts w:ascii="宋体" w:hAnsi="宋体" w:hint="eastAsia"/>
                <w:sz w:val="20"/>
                <w:szCs w:val="20"/>
                <w:lang w:eastAsia="zh-CN"/>
              </w:rPr>
              <w:t>编制并向世界银行提交关于项目的环境、社会、健康和安全（</w:t>
            </w:r>
            <w:r>
              <w:rPr>
                <w:rFonts w:ascii="宋体" w:hAnsi="宋体" w:hint="eastAsia"/>
                <w:sz w:val="20"/>
                <w:szCs w:val="20"/>
                <w:lang w:eastAsia="zh-CN"/>
              </w:rPr>
              <w:t>E&amp;S</w:t>
            </w:r>
            <w:r>
              <w:rPr>
                <w:rFonts w:ascii="宋体" w:hAnsi="宋体" w:hint="eastAsia"/>
                <w:sz w:val="20"/>
                <w:szCs w:val="20"/>
                <w:lang w:eastAsia="zh-CN"/>
              </w:rPr>
              <w:t>）绩效的监测报告，内容包括：</w:t>
            </w:r>
          </w:p>
          <w:p w14:paraId="309B3635" w14:textId="77777777" w:rsidR="00D27BFA" w:rsidRDefault="00D27BFA" w:rsidP="00D27BFA">
            <w:pPr>
              <w:keepLines/>
              <w:widowControl w:val="0"/>
              <w:numPr>
                <w:ilvl w:val="0"/>
                <w:numId w:val="3"/>
              </w:numPr>
              <w:spacing w:after="0" w:line="240" w:lineRule="auto"/>
              <w:rPr>
                <w:rFonts w:ascii="宋体" w:hAnsi="宋体"/>
                <w:sz w:val="20"/>
                <w:szCs w:val="20"/>
                <w:lang w:eastAsia="zh-CN"/>
              </w:rPr>
            </w:pPr>
            <w:r>
              <w:rPr>
                <w:rFonts w:ascii="宋体" w:hAnsi="宋体" w:hint="eastAsia"/>
                <w:sz w:val="20"/>
                <w:szCs w:val="20"/>
                <w:lang w:eastAsia="zh-CN"/>
              </w:rPr>
              <w:t>ESCP</w:t>
            </w:r>
            <w:r>
              <w:rPr>
                <w:rFonts w:ascii="宋体" w:hAnsi="宋体" w:hint="eastAsia"/>
                <w:sz w:val="20"/>
                <w:szCs w:val="20"/>
                <w:lang w:eastAsia="zh-CN"/>
              </w:rPr>
              <w:t>要求的</w:t>
            </w:r>
            <w:r>
              <w:rPr>
                <w:rFonts w:ascii="宋体" w:hAnsi="宋体" w:hint="eastAsia"/>
                <w:sz w:val="20"/>
                <w:szCs w:val="20"/>
                <w:lang w:eastAsia="zh-CN"/>
              </w:rPr>
              <w:t>E&amp;S</w:t>
            </w:r>
            <w:r>
              <w:rPr>
                <w:rFonts w:ascii="宋体" w:hAnsi="宋体" w:hint="eastAsia"/>
                <w:sz w:val="20"/>
                <w:szCs w:val="20"/>
                <w:lang w:eastAsia="zh-CN"/>
              </w:rPr>
              <w:t>文件的准备和实施情况。</w:t>
            </w:r>
          </w:p>
          <w:p w14:paraId="4D7B4A39" w14:textId="77777777" w:rsidR="00D27BFA" w:rsidRDefault="00D27BFA" w:rsidP="00D27BFA">
            <w:pPr>
              <w:keepLines/>
              <w:widowControl w:val="0"/>
              <w:numPr>
                <w:ilvl w:val="0"/>
                <w:numId w:val="3"/>
              </w:numPr>
              <w:spacing w:after="0" w:line="240" w:lineRule="auto"/>
              <w:rPr>
                <w:rFonts w:ascii="宋体" w:hAnsi="宋体"/>
                <w:sz w:val="20"/>
                <w:szCs w:val="20"/>
                <w:lang w:eastAsia="zh-CN"/>
              </w:rPr>
            </w:pPr>
            <w:r>
              <w:rPr>
                <w:rFonts w:ascii="宋体" w:hAnsi="宋体" w:hint="eastAsia"/>
                <w:sz w:val="20"/>
                <w:szCs w:val="20"/>
                <w:lang w:eastAsia="zh-CN"/>
              </w:rPr>
              <w:t>根据利益相关方参与计划进行的活动总结。</w:t>
            </w:r>
          </w:p>
          <w:p w14:paraId="0DDB44AD" w14:textId="77777777" w:rsidR="00D27BFA" w:rsidRDefault="00D27BFA" w:rsidP="00D27BFA">
            <w:pPr>
              <w:keepLines/>
              <w:widowControl w:val="0"/>
              <w:numPr>
                <w:ilvl w:val="0"/>
                <w:numId w:val="3"/>
              </w:numPr>
              <w:spacing w:after="0" w:line="240" w:lineRule="auto"/>
              <w:rPr>
                <w:rFonts w:ascii="宋体" w:hAnsi="宋体"/>
                <w:sz w:val="20"/>
                <w:szCs w:val="20"/>
                <w:lang w:eastAsia="zh-CN"/>
              </w:rPr>
            </w:pPr>
            <w:r>
              <w:rPr>
                <w:rFonts w:ascii="宋体" w:hAnsi="宋体" w:hint="eastAsia"/>
                <w:sz w:val="20"/>
                <w:szCs w:val="20"/>
                <w:lang w:eastAsia="zh-CN"/>
              </w:rPr>
              <w:t>向申诉机制提交的投诉、申诉记录以及解决的进展情况。</w:t>
            </w:r>
          </w:p>
          <w:p w14:paraId="2FE65DC4" w14:textId="77777777" w:rsidR="00D27BFA" w:rsidRDefault="00D27BFA" w:rsidP="00D27BFA">
            <w:pPr>
              <w:keepLines/>
              <w:widowControl w:val="0"/>
              <w:numPr>
                <w:ilvl w:val="0"/>
                <w:numId w:val="3"/>
              </w:numPr>
              <w:spacing w:after="0" w:line="240" w:lineRule="auto"/>
              <w:rPr>
                <w:rFonts w:ascii="宋体" w:hAnsi="宋体"/>
                <w:sz w:val="20"/>
                <w:szCs w:val="20"/>
                <w:lang w:eastAsia="zh-CN"/>
              </w:rPr>
            </w:pPr>
            <w:r>
              <w:rPr>
                <w:rFonts w:ascii="宋体" w:hAnsi="宋体" w:hint="eastAsia"/>
                <w:sz w:val="20"/>
                <w:szCs w:val="20"/>
                <w:lang w:eastAsia="zh-CN"/>
              </w:rPr>
              <w:t>通过咨询项目实施和监理公司季度提交的</w:t>
            </w:r>
            <w:r>
              <w:rPr>
                <w:rFonts w:ascii="宋体" w:hAnsi="宋体" w:hint="eastAsia"/>
                <w:sz w:val="20"/>
                <w:szCs w:val="20"/>
                <w:lang w:eastAsia="zh-CN"/>
              </w:rPr>
              <w:t>E&amp;S</w:t>
            </w:r>
            <w:r>
              <w:rPr>
                <w:rFonts w:ascii="宋体" w:hAnsi="宋体" w:hint="eastAsia"/>
                <w:sz w:val="20"/>
                <w:szCs w:val="20"/>
                <w:lang w:eastAsia="zh-CN"/>
              </w:rPr>
              <w:t>绩效。</w:t>
            </w:r>
          </w:p>
          <w:p w14:paraId="4D832744" w14:textId="343B9359" w:rsidR="00D27BFA" w:rsidRPr="00CB1EE8" w:rsidRDefault="00D27BFA" w:rsidP="003A1A0F">
            <w:pPr>
              <w:keepLines/>
              <w:widowControl w:val="0"/>
              <w:numPr>
                <w:ilvl w:val="0"/>
                <w:numId w:val="3"/>
              </w:numPr>
              <w:spacing w:after="0" w:line="240" w:lineRule="auto"/>
              <w:rPr>
                <w:rFonts w:ascii="宋体" w:hAnsi="宋体"/>
                <w:sz w:val="20"/>
                <w:szCs w:val="20"/>
                <w:lang w:eastAsia="zh-CN"/>
              </w:rPr>
            </w:pPr>
            <w:r>
              <w:rPr>
                <w:rFonts w:ascii="宋体" w:hAnsi="宋体" w:hint="eastAsia"/>
                <w:sz w:val="20"/>
                <w:szCs w:val="20"/>
                <w:lang w:eastAsia="zh-CN"/>
              </w:rPr>
              <w:t>下文</w:t>
            </w:r>
            <w:r>
              <w:rPr>
                <w:rFonts w:ascii="宋体" w:hAnsi="宋体" w:hint="eastAsia"/>
                <w:sz w:val="20"/>
                <w:szCs w:val="20"/>
                <w:lang w:eastAsia="zh-CN"/>
              </w:rPr>
              <w:t>E</w:t>
            </w:r>
            <w:r>
              <w:rPr>
                <w:rFonts w:ascii="宋体" w:hAnsi="宋体" w:hint="eastAsia"/>
                <w:sz w:val="20"/>
                <w:szCs w:val="20"/>
                <w:lang w:eastAsia="zh-CN"/>
              </w:rPr>
              <w:t>项下报告的事件和事故的数目和解决情况。</w:t>
            </w:r>
          </w:p>
        </w:tc>
        <w:tc>
          <w:tcPr>
            <w:tcW w:w="3150" w:type="dxa"/>
            <w:tcBorders>
              <w:bottom w:val="single" w:sz="4" w:space="0" w:color="auto"/>
            </w:tcBorders>
          </w:tcPr>
          <w:p w14:paraId="3B8632C5" w14:textId="77777777" w:rsidR="00D27BFA" w:rsidRPr="00302478" w:rsidRDefault="00D27BFA" w:rsidP="003A1A0F">
            <w:pPr>
              <w:keepLines/>
              <w:widowControl w:val="0"/>
              <w:rPr>
                <w:rFonts w:cstheme="minorHAnsi"/>
                <w:sz w:val="20"/>
                <w:szCs w:val="20"/>
                <w:lang w:eastAsia="zh-CN"/>
              </w:rPr>
            </w:pPr>
            <w:r w:rsidRPr="00884738">
              <w:rPr>
                <w:rFonts w:ascii="宋体" w:hAnsi="宋体" w:hint="eastAsia"/>
                <w:sz w:val="20"/>
                <w:szCs w:val="20"/>
                <w:lang w:eastAsia="zh-CN"/>
              </w:rPr>
              <w:t>在项目实施期间，在每个报告期结束后不迟于</w:t>
            </w:r>
            <w:r w:rsidRPr="00884738">
              <w:rPr>
                <w:rFonts w:ascii="宋体" w:hAnsi="宋体"/>
                <w:sz w:val="20"/>
                <w:szCs w:val="20"/>
                <w:lang w:eastAsia="zh-CN"/>
              </w:rPr>
              <w:t>60</w:t>
            </w:r>
            <w:r w:rsidRPr="00884738">
              <w:rPr>
                <w:rFonts w:ascii="宋体" w:hAnsi="宋体" w:hint="eastAsia"/>
                <w:sz w:val="20"/>
                <w:szCs w:val="20"/>
                <w:lang w:eastAsia="zh-CN"/>
              </w:rPr>
              <w:t>天向世界银行提交半年度报告。</w:t>
            </w:r>
          </w:p>
        </w:tc>
        <w:tc>
          <w:tcPr>
            <w:tcW w:w="2160" w:type="dxa"/>
            <w:tcBorders>
              <w:bottom w:val="single" w:sz="4" w:space="0" w:color="auto"/>
            </w:tcBorders>
          </w:tcPr>
          <w:p w14:paraId="26568BF4" w14:textId="77777777" w:rsidR="00D27BFA" w:rsidRPr="00302478" w:rsidRDefault="00D27BFA" w:rsidP="003A1A0F">
            <w:pPr>
              <w:keepLines/>
              <w:widowControl w:val="0"/>
              <w:rPr>
                <w:rFonts w:cstheme="minorHAnsi"/>
                <w:sz w:val="20"/>
                <w:szCs w:val="20"/>
              </w:rPr>
            </w:pPr>
            <w:r>
              <w:rPr>
                <w:rFonts w:cstheme="minorHAnsi" w:hint="eastAsia"/>
                <w:b/>
                <w:sz w:val="20"/>
                <w:szCs w:val="20"/>
                <w:lang w:eastAsia="zh-CN"/>
              </w:rPr>
              <w:t>FECO PMO</w:t>
            </w:r>
          </w:p>
        </w:tc>
      </w:tr>
      <w:tr w:rsidR="00D27BFA" w:rsidRPr="00302478" w14:paraId="08EDC12E" w14:textId="77777777" w:rsidTr="003A1A0F">
        <w:trPr>
          <w:trHeight w:val="20"/>
        </w:trPr>
        <w:tc>
          <w:tcPr>
            <w:tcW w:w="625" w:type="dxa"/>
            <w:tcBorders>
              <w:bottom w:val="single" w:sz="4" w:space="0" w:color="000000" w:themeColor="text1"/>
            </w:tcBorders>
          </w:tcPr>
          <w:p w14:paraId="052A47D1" w14:textId="77777777" w:rsidR="00D27BFA" w:rsidRPr="00302478" w:rsidRDefault="00D27BFA" w:rsidP="003A1A0F">
            <w:pPr>
              <w:keepLines/>
              <w:widowControl w:val="0"/>
              <w:jc w:val="center"/>
              <w:rPr>
                <w:rFonts w:cstheme="minorHAnsi"/>
                <w:sz w:val="20"/>
                <w:szCs w:val="20"/>
              </w:rPr>
            </w:pPr>
            <w:r w:rsidRPr="00302478">
              <w:rPr>
                <w:rFonts w:cstheme="minorHAnsi"/>
                <w:sz w:val="20"/>
                <w:szCs w:val="20"/>
              </w:rPr>
              <w:t>E</w:t>
            </w:r>
          </w:p>
        </w:tc>
        <w:tc>
          <w:tcPr>
            <w:tcW w:w="8370" w:type="dxa"/>
            <w:tcBorders>
              <w:bottom w:val="single" w:sz="4" w:space="0" w:color="000000" w:themeColor="text1"/>
            </w:tcBorders>
          </w:tcPr>
          <w:p w14:paraId="409FEF26" w14:textId="36948E88" w:rsidR="00D27BFA" w:rsidRPr="00813212" w:rsidRDefault="00D27BFA" w:rsidP="003A1A0F">
            <w:pPr>
              <w:rPr>
                <w:rFonts w:ascii="宋体" w:hAnsi="宋体" w:cstheme="minorHAnsi"/>
                <w:b/>
                <w:color w:val="156082" w:themeColor="accent1"/>
                <w:sz w:val="20"/>
                <w:szCs w:val="20"/>
                <w:lang w:eastAsia="zh-CN"/>
              </w:rPr>
            </w:pPr>
            <w:r>
              <w:rPr>
                <w:rFonts w:ascii="宋体" w:hAnsi="宋体" w:cstheme="minorHAnsi" w:hint="eastAsia"/>
                <w:b/>
                <w:color w:val="156082" w:themeColor="accent1"/>
                <w:sz w:val="20"/>
                <w:szCs w:val="20"/>
                <w:lang w:eastAsia="zh-CN"/>
              </w:rPr>
              <w:t>事件和事故</w:t>
            </w:r>
            <w:r>
              <w:rPr>
                <w:rFonts w:ascii="宋体" w:hAnsi="宋体" w:cstheme="minorHAnsi"/>
                <w:b/>
                <w:color w:val="156082" w:themeColor="accent1"/>
                <w:sz w:val="20"/>
                <w:szCs w:val="20"/>
                <w:lang w:eastAsia="zh-CN"/>
              </w:rPr>
              <w:t xml:space="preserve"> </w:t>
            </w:r>
          </w:p>
          <w:p w14:paraId="52A66D1B" w14:textId="77777777" w:rsidR="00D27BFA" w:rsidRPr="009B06B8" w:rsidRDefault="00D27BFA" w:rsidP="003A1A0F">
            <w:pPr>
              <w:keepLines/>
              <w:widowControl w:val="0"/>
              <w:rPr>
                <w:rFonts w:ascii="宋体" w:hAnsi="宋体"/>
                <w:sz w:val="20"/>
                <w:szCs w:val="20"/>
                <w:lang w:eastAsia="zh-CN"/>
              </w:rPr>
            </w:pPr>
            <w:r w:rsidRPr="009B06B8">
              <w:rPr>
                <w:rFonts w:ascii="宋体" w:hAnsi="宋体" w:hint="eastAsia"/>
                <w:sz w:val="20"/>
                <w:szCs w:val="20"/>
                <w:lang w:eastAsia="zh-CN"/>
              </w:rPr>
              <w:t>如果与项目有关的任何事件或事故对环境、受影响群体、公众或工人造成或可能造成重大不利影响，包括造成工人或公众死亡或重大伤害的事件或事故；暴力、歧视或抗议行为；对文化遗产或生物多样性资源的意外影响；环境污染；水坝溃决；强迫劳动或童工；未经正当程序的流离失所（强迫驱逐）；性剥削或性虐待（</w:t>
            </w:r>
            <w:r w:rsidRPr="009B06B8">
              <w:rPr>
                <w:rFonts w:ascii="宋体" w:hAnsi="宋体" w:hint="eastAsia"/>
                <w:sz w:val="20"/>
                <w:szCs w:val="20"/>
                <w:lang w:eastAsia="zh-CN"/>
              </w:rPr>
              <w:t>SEA</w:t>
            </w:r>
            <w:r w:rsidRPr="009B06B8">
              <w:rPr>
                <w:rFonts w:ascii="宋体" w:hAnsi="宋体" w:hint="eastAsia"/>
                <w:sz w:val="20"/>
                <w:szCs w:val="20"/>
                <w:lang w:eastAsia="zh-CN"/>
              </w:rPr>
              <w:t>）或性骚扰（</w:t>
            </w:r>
            <w:r w:rsidRPr="009B06B8">
              <w:rPr>
                <w:rFonts w:ascii="宋体" w:hAnsi="宋体" w:hint="eastAsia"/>
                <w:sz w:val="20"/>
                <w:szCs w:val="20"/>
                <w:lang w:eastAsia="zh-CN"/>
              </w:rPr>
              <w:t>SH</w:t>
            </w:r>
            <w:r w:rsidRPr="009B06B8">
              <w:rPr>
                <w:rFonts w:ascii="宋体" w:hAnsi="宋体" w:hint="eastAsia"/>
                <w:sz w:val="20"/>
                <w:szCs w:val="20"/>
                <w:lang w:eastAsia="zh-CN"/>
              </w:rPr>
              <w:t>）指控；或疾病爆发，应通知世界银行。应要求向世界银行提供事件或事故的详细情况。</w:t>
            </w:r>
          </w:p>
          <w:p w14:paraId="55B478A7" w14:textId="77777777" w:rsidR="00D27BFA" w:rsidRPr="009B06B8" w:rsidRDefault="00D27BFA" w:rsidP="003A1A0F">
            <w:pPr>
              <w:keepLines/>
              <w:widowControl w:val="0"/>
              <w:rPr>
                <w:rFonts w:ascii="宋体" w:hAnsi="宋体"/>
                <w:sz w:val="20"/>
                <w:szCs w:val="20"/>
                <w:lang w:eastAsia="zh-CN"/>
              </w:rPr>
            </w:pPr>
          </w:p>
          <w:p w14:paraId="07858254" w14:textId="77777777" w:rsidR="00D27BFA" w:rsidRPr="00801F17" w:rsidRDefault="00D27BFA" w:rsidP="003A1A0F">
            <w:pPr>
              <w:keepLines/>
              <w:widowControl w:val="0"/>
              <w:rPr>
                <w:rFonts w:ascii="宋体" w:eastAsia="宋体" w:hAnsi="宋体" w:cstheme="minorHAnsi"/>
                <w:sz w:val="20"/>
                <w:szCs w:val="20"/>
                <w:lang w:eastAsia="zh-CN"/>
              </w:rPr>
            </w:pPr>
            <w:r w:rsidRPr="009B06B8">
              <w:rPr>
                <w:rFonts w:ascii="宋体" w:hAnsi="宋体" w:hint="eastAsia"/>
                <w:sz w:val="20"/>
                <w:szCs w:val="20"/>
                <w:lang w:eastAsia="zh-CN"/>
              </w:rPr>
              <w:t>安排对事件或事故进行适当的审查，以确定其直接、潜在和根本原因。制定一项纠正行动计划，与银行达成一致，并实施该计划，列出应对事件或事故并防止其再次发生的措施和行动。</w:t>
            </w:r>
          </w:p>
        </w:tc>
        <w:tc>
          <w:tcPr>
            <w:tcW w:w="3150" w:type="dxa"/>
            <w:tcBorders>
              <w:bottom w:val="single" w:sz="4" w:space="0" w:color="000000" w:themeColor="text1"/>
            </w:tcBorders>
          </w:tcPr>
          <w:p w14:paraId="27E573F5" w14:textId="77777777" w:rsidR="00D27BFA" w:rsidRDefault="00D27BFA" w:rsidP="003A1A0F">
            <w:pPr>
              <w:keepLines/>
              <w:widowControl w:val="0"/>
              <w:rPr>
                <w:rFonts w:eastAsia="Times New Roman"/>
                <w:sz w:val="20"/>
                <w:szCs w:val="20"/>
                <w:lang w:eastAsia="zh-CN"/>
              </w:rPr>
            </w:pPr>
          </w:p>
          <w:p w14:paraId="289E549F" w14:textId="77777777" w:rsidR="00D27BFA" w:rsidRDefault="00D27BFA" w:rsidP="003A1A0F">
            <w:pPr>
              <w:keepLines/>
              <w:widowControl w:val="0"/>
              <w:rPr>
                <w:rFonts w:ascii="宋体" w:hAnsi="宋体"/>
                <w:sz w:val="20"/>
                <w:szCs w:val="20"/>
                <w:lang w:eastAsia="zh-CN"/>
              </w:rPr>
            </w:pPr>
            <w:r>
              <w:rPr>
                <w:rFonts w:ascii="宋体" w:hAnsi="宋体"/>
                <w:sz w:val="20"/>
                <w:szCs w:val="20"/>
                <w:lang w:eastAsia="zh-CN"/>
              </w:rPr>
              <w:t>在获悉事件或事故后</w:t>
            </w:r>
            <w:r>
              <w:rPr>
                <w:rFonts w:ascii="宋体" w:hAnsi="宋体"/>
                <w:sz w:val="20"/>
                <w:szCs w:val="20"/>
                <w:lang w:eastAsia="zh-CN"/>
              </w:rPr>
              <w:t xml:space="preserve"> 48 </w:t>
            </w:r>
            <w:r>
              <w:rPr>
                <w:rFonts w:ascii="宋体" w:hAnsi="宋体"/>
                <w:sz w:val="20"/>
                <w:szCs w:val="20"/>
                <w:lang w:eastAsia="zh-CN"/>
              </w:rPr>
              <w:t>小时内通知银行。应要求提供详细信息。</w:t>
            </w:r>
          </w:p>
          <w:p w14:paraId="5D2130B3" w14:textId="77777777" w:rsidR="00D27BFA" w:rsidRDefault="00D27BFA" w:rsidP="003A1A0F">
            <w:pPr>
              <w:keepLines/>
              <w:widowControl w:val="0"/>
              <w:rPr>
                <w:rFonts w:ascii="宋体" w:hAnsi="宋体"/>
                <w:sz w:val="20"/>
                <w:szCs w:val="20"/>
                <w:lang w:eastAsia="zh-CN"/>
              </w:rPr>
            </w:pPr>
          </w:p>
          <w:p w14:paraId="5D56342B" w14:textId="77777777" w:rsidR="00D27BFA" w:rsidRPr="00302478" w:rsidRDefault="00D27BFA" w:rsidP="003A1A0F">
            <w:pPr>
              <w:keepLines/>
              <w:widowControl w:val="0"/>
              <w:rPr>
                <w:sz w:val="20"/>
                <w:szCs w:val="20"/>
                <w:lang w:eastAsia="zh-CN"/>
              </w:rPr>
            </w:pPr>
            <w:r>
              <w:rPr>
                <w:rFonts w:ascii="宋体" w:hAnsi="宋体"/>
                <w:sz w:val="20"/>
                <w:szCs w:val="20"/>
                <w:lang w:eastAsia="zh-CN"/>
              </w:rPr>
              <w:t>在提交初始通知后</w:t>
            </w:r>
            <w:r>
              <w:rPr>
                <w:rFonts w:ascii="宋体" w:hAnsi="宋体"/>
                <w:sz w:val="20"/>
                <w:szCs w:val="20"/>
                <w:lang w:eastAsia="zh-CN"/>
              </w:rPr>
              <w:t xml:space="preserve"> 10 </w:t>
            </w:r>
            <w:r>
              <w:rPr>
                <w:rFonts w:ascii="宋体" w:hAnsi="宋体"/>
                <w:sz w:val="20"/>
                <w:szCs w:val="20"/>
                <w:lang w:eastAsia="zh-CN"/>
              </w:rPr>
              <w:t>天内向银行提交审查报告和纠正行动计划，除非银行以书面形式同意不同的时间框架</w:t>
            </w:r>
          </w:p>
        </w:tc>
        <w:tc>
          <w:tcPr>
            <w:tcW w:w="2160" w:type="dxa"/>
            <w:tcBorders>
              <w:bottom w:val="single" w:sz="4" w:space="0" w:color="000000" w:themeColor="text1"/>
            </w:tcBorders>
          </w:tcPr>
          <w:p w14:paraId="4F1C3A19" w14:textId="77777777" w:rsidR="00D27BFA" w:rsidRPr="00302478" w:rsidRDefault="00D27BFA" w:rsidP="003A1A0F">
            <w:pPr>
              <w:keepLines/>
              <w:widowControl w:val="0"/>
              <w:rPr>
                <w:rFonts w:cstheme="minorHAnsi"/>
                <w:sz w:val="20"/>
                <w:szCs w:val="20"/>
              </w:rPr>
            </w:pPr>
            <w:r>
              <w:rPr>
                <w:rFonts w:cstheme="minorHAnsi" w:hint="eastAsia"/>
                <w:b/>
                <w:sz w:val="20"/>
                <w:szCs w:val="20"/>
                <w:lang w:eastAsia="zh-CN"/>
              </w:rPr>
              <w:t>FECO PMO</w:t>
            </w:r>
          </w:p>
        </w:tc>
      </w:tr>
      <w:tr w:rsidR="00D27BFA" w:rsidRPr="00302478" w14:paraId="6164D5B2" w14:textId="77777777" w:rsidTr="003A1A0F">
        <w:trPr>
          <w:cantSplit/>
          <w:trHeight w:val="20"/>
        </w:trPr>
        <w:tc>
          <w:tcPr>
            <w:tcW w:w="14305" w:type="dxa"/>
            <w:gridSpan w:val="4"/>
            <w:tcBorders>
              <w:top w:val="single" w:sz="4" w:space="0" w:color="000000" w:themeColor="text1"/>
            </w:tcBorders>
            <w:shd w:val="clear" w:color="auto" w:fill="F1A983" w:themeFill="accent2" w:themeFillTint="99"/>
          </w:tcPr>
          <w:p w14:paraId="2418AB00" w14:textId="77777777" w:rsidR="00D27BFA" w:rsidRPr="00302478" w:rsidRDefault="00D27BFA" w:rsidP="003A1A0F">
            <w:pPr>
              <w:keepLines/>
              <w:widowControl w:val="0"/>
              <w:rPr>
                <w:rFonts w:cstheme="minorHAnsi"/>
                <w:sz w:val="20"/>
                <w:szCs w:val="20"/>
                <w:lang w:eastAsia="zh-CN"/>
              </w:rPr>
            </w:pPr>
            <w:r>
              <w:rPr>
                <w:rFonts w:cstheme="minorHAnsi" w:hint="eastAsia"/>
                <w:b/>
                <w:sz w:val="20"/>
                <w:szCs w:val="20"/>
                <w:lang w:eastAsia="zh-CN"/>
              </w:rPr>
              <w:lastRenderedPageBreak/>
              <w:t>环境和社会标准</w:t>
            </w:r>
            <w:r w:rsidRPr="00302478">
              <w:rPr>
                <w:rFonts w:cstheme="minorHAnsi"/>
                <w:b/>
                <w:sz w:val="20"/>
                <w:szCs w:val="20"/>
                <w:lang w:eastAsia="zh-CN"/>
              </w:rPr>
              <w:t xml:space="preserve">1:  </w:t>
            </w:r>
            <w:r w:rsidRPr="00492DF7">
              <w:rPr>
                <w:rFonts w:cstheme="minorHAnsi"/>
                <w:b/>
                <w:sz w:val="20"/>
                <w:szCs w:val="20"/>
                <w:lang w:eastAsia="zh-CN"/>
              </w:rPr>
              <w:t>环境和社会风险与影响的评估和管理</w:t>
            </w:r>
          </w:p>
        </w:tc>
      </w:tr>
      <w:tr w:rsidR="00D27BFA" w:rsidRPr="00302478" w14:paraId="730A07F1" w14:textId="77777777" w:rsidTr="003A1A0F">
        <w:trPr>
          <w:trHeight w:val="20"/>
        </w:trPr>
        <w:tc>
          <w:tcPr>
            <w:tcW w:w="625" w:type="dxa"/>
          </w:tcPr>
          <w:p w14:paraId="7466FE6E" w14:textId="77777777" w:rsidR="00D27BFA" w:rsidRPr="00302478" w:rsidRDefault="00D27BFA" w:rsidP="003A1A0F">
            <w:pPr>
              <w:keepLines/>
              <w:widowControl w:val="0"/>
              <w:jc w:val="center"/>
              <w:rPr>
                <w:rFonts w:cstheme="minorHAnsi"/>
                <w:sz w:val="20"/>
                <w:szCs w:val="20"/>
              </w:rPr>
            </w:pPr>
            <w:r w:rsidRPr="00302478">
              <w:rPr>
                <w:rFonts w:cstheme="minorHAnsi"/>
                <w:sz w:val="20"/>
                <w:szCs w:val="20"/>
              </w:rPr>
              <w:t>1.1</w:t>
            </w:r>
          </w:p>
        </w:tc>
        <w:tc>
          <w:tcPr>
            <w:tcW w:w="8370" w:type="dxa"/>
          </w:tcPr>
          <w:p w14:paraId="41F420B4" w14:textId="11A40460" w:rsidR="00D27BFA" w:rsidRPr="00CB1EE8" w:rsidRDefault="00D27BFA" w:rsidP="003A1A0F">
            <w:pPr>
              <w:keepLines/>
              <w:widowControl w:val="0"/>
              <w:rPr>
                <w:rFonts w:cstheme="minorHAnsi"/>
                <w:b/>
                <w:color w:val="156082" w:themeColor="accent1"/>
                <w:sz w:val="20"/>
                <w:szCs w:val="20"/>
                <w:lang w:eastAsia="zh-CN"/>
              </w:rPr>
            </w:pPr>
            <w:r>
              <w:rPr>
                <w:rFonts w:cstheme="minorHAnsi"/>
                <w:b/>
                <w:color w:val="156082" w:themeColor="accent1"/>
                <w:sz w:val="20"/>
                <w:szCs w:val="20"/>
                <w:lang w:eastAsia="zh-CN"/>
              </w:rPr>
              <w:t xml:space="preserve"> </w:t>
            </w:r>
            <w:r w:rsidRPr="00492DF7">
              <w:rPr>
                <w:rFonts w:cstheme="minorHAnsi"/>
                <w:b/>
                <w:color w:val="156082" w:themeColor="accent1"/>
                <w:sz w:val="20"/>
                <w:szCs w:val="20"/>
                <w:lang w:eastAsia="zh-CN"/>
              </w:rPr>
              <w:t>环境和社会评估和/或计划</w:t>
            </w:r>
          </w:p>
          <w:p w14:paraId="4D97672A" w14:textId="77777777" w:rsidR="00D27BFA" w:rsidRPr="00492DF7" w:rsidRDefault="00D27BFA" w:rsidP="003A1A0F">
            <w:pPr>
              <w:keepLines/>
              <w:widowControl w:val="0"/>
              <w:tabs>
                <w:tab w:val="num" w:pos="720"/>
              </w:tabs>
              <w:rPr>
                <w:sz w:val="20"/>
                <w:szCs w:val="20"/>
                <w:lang w:eastAsia="zh-CN"/>
              </w:rPr>
            </w:pPr>
            <w:r>
              <w:rPr>
                <w:sz w:val="20"/>
                <w:szCs w:val="20"/>
                <w:lang w:eastAsia="zh-CN"/>
              </w:rPr>
              <w:t xml:space="preserve">1. </w:t>
            </w:r>
            <w:r w:rsidRPr="00492DF7">
              <w:rPr>
                <w:sz w:val="20"/>
                <w:szCs w:val="20"/>
                <w:lang w:eastAsia="zh-CN"/>
              </w:rPr>
              <w:t>按照相关环境和社会标准（ESSs）的要求，为项目准备并实施环境和社会管理框架（ESMF）。</w:t>
            </w:r>
          </w:p>
          <w:p w14:paraId="578CFCCD" w14:textId="4A89558E" w:rsidR="00D27BFA" w:rsidRPr="00CB1EE8" w:rsidRDefault="00D27BFA" w:rsidP="00CB1EE8">
            <w:pPr>
              <w:keepLines/>
              <w:widowControl w:val="0"/>
              <w:tabs>
                <w:tab w:val="num" w:pos="720"/>
              </w:tabs>
              <w:rPr>
                <w:rFonts w:ascii="DengXian" w:eastAsia="DengXian" w:hAnsi="DengXian" w:cs="DengXian"/>
                <w:sz w:val="20"/>
                <w:szCs w:val="20"/>
                <w:lang w:eastAsia="zh-CN"/>
              </w:rPr>
            </w:pPr>
            <w:r w:rsidRPr="6CF424BF">
              <w:rPr>
                <w:sz w:val="20"/>
                <w:szCs w:val="20"/>
                <w:lang w:eastAsia="zh-CN"/>
              </w:rPr>
              <w:t xml:space="preserve">2. </w:t>
            </w:r>
            <w:r w:rsidRPr="3B05EC15">
              <w:rPr>
                <w:rFonts w:ascii="DengXian" w:eastAsia="DengXian" w:hAnsi="DengXian" w:cs="DengXian"/>
                <w:sz w:val="20"/>
                <w:szCs w:val="20"/>
                <w:lang w:eastAsia="zh-CN"/>
              </w:rPr>
              <w:t>要求每个课题实施单位按照工作任务大纲</w:t>
            </w:r>
            <w:r w:rsidRPr="6CF424BF">
              <w:rPr>
                <w:rFonts w:ascii="DengXian" w:eastAsia="DengXian" w:hAnsi="DengXian" w:cs="DengXian"/>
                <w:sz w:val="20"/>
                <w:szCs w:val="20"/>
                <w:lang w:eastAsia="zh-CN"/>
              </w:rPr>
              <w:t>（</w:t>
            </w:r>
            <w:r w:rsidRPr="6CF424BF">
              <w:rPr>
                <w:rFonts w:ascii="Calibri" w:eastAsia="Calibri" w:hAnsi="Calibri" w:cs="Calibri"/>
                <w:sz w:val="20"/>
                <w:szCs w:val="20"/>
                <w:lang w:eastAsia="zh-CN"/>
              </w:rPr>
              <w:t>TOR</w:t>
            </w:r>
            <w:r w:rsidRPr="6CF424BF">
              <w:rPr>
                <w:rFonts w:ascii="DengXian" w:eastAsia="DengXian" w:hAnsi="DengXian" w:cs="DengXian"/>
                <w:sz w:val="20"/>
                <w:szCs w:val="20"/>
                <w:lang w:eastAsia="zh-CN"/>
              </w:rPr>
              <w:t>）的要求，在课题成果报告（</w:t>
            </w:r>
            <w:r w:rsidRPr="6CF424BF">
              <w:rPr>
                <w:rFonts w:ascii="Calibri" w:eastAsia="Calibri" w:hAnsi="Calibri" w:cs="Calibri"/>
                <w:sz w:val="20"/>
                <w:szCs w:val="20"/>
                <w:lang w:eastAsia="zh-CN"/>
              </w:rPr>
              <w:t>output reports</w:t>
            </w:r>
            <w:r w:rsidRPr="6CF424BF">
              <w:rPr>
                <w:rFonts w:ascii="DengXian" w:eastAsia="DengXian" w:hAnsi="DengXian" w:cs="DengXian"/>
                <w:sz w:val="20"/>
                <w:szCs w:val="20"/>
                <w:lang w:eastAsia="zh-CN"/>
              </w:rPr>
              <w:t>）中编写相应的环境社会评价。该环境社会评价可能是单独的环境社会影响评价文件，也可能是课题产出报告的一个章节。具体要求应以得到世行审批的工作任务大纲为准。</w:t>
            </w:r>
          </w:p>
        </w:tc>
        <w:tc>
          <w:tcPr>
            <w:tcW w:w="3150" w:type="dxa"/>
          </w:tcPr>
          <w:p w14:paraId="56CB231B" w14:textId="77777777" w:rsidR="00D27BFA" w:rsidRPr="00302478" w:rsidRDefault="00D27BFA" w:rsidP="003A1A0F">
            <w:pPr>
              <w:keepLines/>
              <w:widowControl w:val="0"/>
              <w:jc w:val="both"/>
              <w:rPr>
                <w:rFonts w:cstheme="minorHAnsi"/>
                <w:sz w:val="20"/>
                <w:szCs w:val="20"/>
                <w:lang w:eastAsia="zh-CN"/>
              </w:rPr>
            </w:pPr>
          </w:p>
          <w:p w14:paraId="4A0EAC75" w14:textId="77777777" w:rsidR="00D27BFA" w:rsidRPr="009B06B8" w:rsidRDefault="00D27BFA" w:rsidP="003A1A0F">
            <w:pPr>
              <w:keepLines/>
              <w:widowControl w:val="0"/>
              <w:rPr>
                <w:rFonts w:ascii="宋体" w:hAnsi="宋体"/>
                <w:sz w:val="20"/>
                <w:szCs w:val="20"/>
                <w:lang w:eastAsia="zh-CN"/>
              </w:rPr>
            </w:pPr>
            <w:r w:rsidRPr="006F1DE5">
              <w:rPr>
                <w:rFonts w:ascii="宋体" w:hAnsi="宋体" w:hint="eastAsia"/>
                <w:sz w:val="20"/>
                <w:szCs w:val="20"/>
                <w:lang w:eastAsia="zh-CN"/>
              </w:rPr>
              <w:t>在整个项目实施期间执行环境和社会管理框架（</w:t>
            </w:r>
            <w:r w:rsidRPr="006F1DE5">
              <w:rPr>
                <w:rFonts w:ascii="宋体" w:hAnsi="宋体"/>
                <w:sz w:val="20"/>
                <w:szCs w:val="20"/>
                <w:lang w:eastAsia="zh-CN"/>
              </w:rPr>
              <w:t>ESMF</w:t>
            </w:r>
            <w:r w:rsidRPr="006F1DE5">
              <w:rPr>
                <w:rFonts w:ascii="宋体" w:hAnsi="宋体" w:hint="eastAsia"/>
                <w:sz w:val="20"/>
                <w:szCs w:val="20"/>
                <w:lang w:eastAsia="zh-CN"/>
              </w:rPr>
              <w:t>）。</w:t>
            </w:r>
          </w:p>
          <w:p w14:paraId="2FFAE2B1" w14:textId="77777777" w:rsidR="00D27BFA" w:rsidRPr="006F1DE5" w:rsidRDefault="00D27BFA" w:rsidP="003A1A0F">
            <w:pPr>
              <w:keepLines/>
              <w:widowControl w:val="0"/>
              <w:rPr>
                <w:rFonts w:ascii="宋体" w:hAnsi="宋体"/>
                <w:sz w:val="20"/>
                <w:szCs w:val="20"/>
                <w:lang w:eastAsia="zh-CN"/>
              </w:rPr>
            </w:pPr>
          </w:p>
          <w:p w14:paraId="77A0047D" w14:textId="77777777" w:rsidR="00D27BFA" w:rsidRDefault="00D27BFA" w:rsidP="003A1A0F">
            <w:pPr>
              <w:keepLines/>
              <w:widowControl w:val="0"/>
              <w:rPr>
                <w:rFonts w:ascii="宋体" w:hAnsi="宋体"/>
                <w:sz w:val="20"/>
                <w:szCs w:val="20"/>
                <w:lang w:eastAsia="zh-CN"/>
              </w:rPr>
            </w:pPr>
            <w:r w:rsidRPr="006F1DE5">
              <w:rPr>
                <w:rFonts w:ascii="宋体" w:hAnsi="宋体" w:hint="eastAsia"/>
                <w:sz w:val="20"/>
                <w:szCs w:val="20"/>
                <w:lang w:eastAsia="zh-CN"/>
              </w:rPr>
              <w:t>在相关技术援助活动开始招标程序之前，并在整个活动实施期间。</w:t>
            </w:r>
          </w:p>
          <w:p w14:paraId="4F9015A0" w14:textId="5E7D5ABD" w:rsidR="00813212" w:rsidRPr="00813212" w:rsidRDefault="00813212" w:rsidP="003A1A0F">
            <w:pPr>
              <w:keepLines/>
              <w:widowControl w:val="0"/>
              <w:rPr>
                <w:rFonts w:ascii="宋体" w:hAnsi="宋体"/>
                <w:sz w:val="20"/>
                <w:szCs w:val="20"/>
                <w:lang w:eastAsia="zh-CN"/>
              </w:rPr>
            </w:pPr>
          </w:p>
        </w:tc>
        <w:tc>
          <w:tcPr>
            <w:tcW w:w="2160" w:type="dxa"/>
          </w:tcPr>
          <w:p w14:paraId="659A7F14" w14:textId="77777777" w:rsidR="00D27BFA" w:rsidRPr="00492DF7" w:rsidRDefault="00D27BFA" w:rsidP="003A1A0F">
            <w:pPr>
              <w:keepLines/>
              <w:widowControl w:val="0"/>
              <w:rPr>
                <w:rFonts w:cstheme="minorHAnsi"/>
                <w:sz w:val="20"/>
                <w:szCs w:val="20"/>
                <w:lang w:eastAsia="zh-CN"/>
              </w:rPr>
            </w:pPr>
            <w:r>
              <w:rPr>
                <w:rFonts w:cstheme="minorHAnsi" w:hint="eastAsia"/>
                <w:sz w:val="20"/>
                <w:szCs w:val="20"/>
                <w:lang w:eastAsia="zh-CN"/>
              </w:rPr>
              <w:t xml:space="preserve">FECO </w:t>
            </w:r>
            <w:r w:rsidRPr="00492DF7">
              <w:rPr>
                <w:rFonts w:cstheme="minorHAnsi"/>
                <w:sz w:val="20"/>
                <w:szCs w:val="20"/>
                <w:lang w:eastAsia="zh-CN"/>
              </w:rPr>
              <w:t xml:space="preserve">PMO </w:t>
            </w:r>
          </w:p>
        </w:tc>
      </w:tr>
      <w:tr w:rsidR="00D27BFA" w:rsidRPr="00302478" w14:paraId="2152C75F" w14:textId="77777777" w:rsidTr="003A1A0F">
        <w:trPr>
          <w:trHeight w:val="20"/>
        </w:trPr>
        <w:tc>
          <w:tcPr>
            <w:tcW w:w="625" w:type="dxa"/>
          </w:tcPr>
          <w:p w14:paraId="62DF950C" w14:textId="77777777" w:rsidR="00D27BFA" w:rsidRPr="00302478" w:rsidRDefault="00D27BFA" w:rsidP="003A1A0F">
            <w:pPr>
              <w:keepLines/>
              <w:widowControl w:val="0"/>
              <w:jc w:val="center"/>
              <w:rPr>
                <w:rFonts w:cstheme="minorHAnsi"/>
                <w:sz w:val="20"/>
                <w:szCs w:val="20"/>
              </w:rPr>
            </w:pPr>
            <w:r w:rsidRPr="00302478">
              <w:rPr>
                <w:rFonts w:cstheme="minorHAnsi"/>
                <w:sz w:val="20"/>
                <w:szCs w:val="20"/>
              </w:rPr>
              <w:t>1.</w:t>
            </w:r>
            <w:r>
              <w:rPr>
                <w:rFonts w:cstheme="minorHAnsi"/>
                <w:sz w:val="20"/>
                <w:szCs w:val="20"/>
              </w:rPr>
              <w:t>3</w:t>
            </w:r>
          </w:p>
        </w:tc>
        <w:tc>
          <w:tcPr>
            <w:tcW w:w="8370" w:type="dxa"/>
            <w:shd w:val="clear" w:color="auto" w:fill="auto"/>
          </w:tcPr>
          <w:p w14:paraId="3665C7CC" w14:textId="77777777" w:rsidR="00D27BFA" w:rsidRPr="006F1DE5" w:rsidRDefault="00D27BFA" w:rsidP="003A1A0F">
            <w:pPr>
              <w:keepLines/>
              <w:widowControl w:val="0"/>
              <w:jc w:val="both"/>
              <w:rPr>
                <w:rFonts w:cstheme="minorHAnsi"/>
                <w:b/>
                <w:color w:val="156082" w:themeColor="accent1"/>
                <w:sz w:val="20"/>
                <w:szCs w:val="20"/>
                <w:lang w:eastAsia="zh-CN"/>
              </w:rPr>
            </w:pPr>
            <w:r w:rsidRPr="00EF6946">
              <w:rPr>
                <w:rFonts w:cstheme="minorHAnsi"/>
                <w:b/>
                <w:color w:val="156082" w:themeColor="accent1"/>
                <w:sz w:val="20"/>
                <w:szCs w:val="20"/>
                <w:lang w:eastAsia="zh-CN"/>
              </w:rPr>
              <w:t>技术援助</w:t>
            </w:r>
          </w:p>
          <w:p w14:paraId="400EEA0B" w14:textId="04E46F2A" w:rsidR="00D27BFA" w:rsidRPr="00874B2F" w:rsidRDefault="00D27BFA" w:rsidP="003A1A0F">
            <w:pPr>
              <w:keepLines/>
              <w:widowControl w:val="0"/>
              <w:tabs>
                <w:tab w:val="num" w:pos="720"/>
              </w:tabs>
              <w:rPr>
                <w:lang w:eastAsia="zh-CN"/>
              </w:rPr>
            </w:pPr>
            <w:r w:rsidRPr="00801F17">
              <w:rPr>
                <w:rFonts w:hint="eastAsia"/>
                <w:kern w:val="2"/>
                <w:sz w:val="20"/>
                <w:szCs w:val="20"/>
                <w:lang w:eastAsia="zh-CN"/>
              </w:rPr>
              <w:t>确保项目下的咨询、研究、能力建设、培训和任何其他技术援助活动按照世界银行可接受的工作大纲（</w:t>
            </w:r>
            <w:proofErr w:type="spellStart"/>
            <w:r w:rsidRPr="00801F17">
              <w:rPr>
                <w:kern w:val="2"/>
                <w:sz w:val="20"/>
                <w:szCs w:val="20"/>
                <w:lang w:eastAsia="zh-CN"/>
              </w:rPr>
              <w:t>ToR</w:t>
            </w:r>
            <w:proofErr w:type="spellEnd"/>
            <w:r w:rsidRPr="00801F17">
              <w:rPr>
                <w:rFonts w:hint="eastAsia"/>
                <w:kern w:val="2"/>
                <w:sz w:val="20"/>
                <w:szCs w:val="20"/>
                <w:lang w:eastAsia="zh-CN"/>
              </w:rPr>
              <w:t>）开展，这些工作大纲应与环境和社会标准（</w:t>
            </w:r>
            <w:r w:rsidRPr="00801F17">
              <w:rPr>
                <w:kern w:val="2"/>
                <w:sz w:val="20"/>
                <w:szCs w:val="20"/>
                <w:lang w:eastAsia="zh-CN"/>
              </w:rPr>
              <w:t>ESS</w:t>
            </w:r>
            <w:r w:rsidRPr="00801F17">
              <w:rPr>
                <w:rFonts w:hint="eastAsia"/>
                <w:kern w:val="2"/>
                <w:sz w:val="20"/>
                <w:szCs w:val="20"/>
                <w:lang w:eastAsia="zh-CN"/>
              </w:rPr>
              <w:t>）保持一致，包括确保可能存在潜在下游环境和社会风险及影响的技术援助活动的工作大纲中包含对此类风险和影响的评估要求以及建议的缓解措施（如利益相关方参与和信息披露措施）。技术援助活动的成果报告应包括适当的环境和社会风险及影响评估和缓解措施，与环境和社会标准保持一致。</w:t>
            </w:r>
          </w:p>
          <w:p w14:paraId="1735794C" w14:textId="77777777" w:rsidR="00D27BFA" w:rsidRPr="00C66181" w:rsidRDefault="00D27BFA" w:rsidP="003A1A0F">
            <w:pPr>
              <w:pStyle w:val="af3"/>
              <w:ind w:leftChars="-19" w:left="-42" w:rightChars="-20" w:right="-44"/>
              <w:rPr>
                <w:rFonts w:cstheme="minorHAnsi"/>
                <w:lang w:eastAsia="zh-CN"/>
              </w:rPr>
            </w:pPr>
            <w:r w:rsidRPr="00C66181">
              <w:rPr>
                <w:lang w:eastAsia="zh-CN"/>
              </w:rPr>
              <w:t>工作大纲和成果报告应提交世界银行审查并</w:t>
            </w:r>
            <w:r>
              <w:rPr>
                <w:rFonts w:hint="eastAsia"/>
                <w:lang w:eastAsia="zh-CN"/>
              </w:rPr>
              <w:t>获得</w:t>
            </w:r>
            <w:r w:rsidRPr="00C66181">
              <w:rPr>
                <w:rFonts w:hint="eastAsia"/>
                <w:lang w:eastAsia="zh-CN"/>
              </w:rPr>
              <w:t>无</w:t>
            </w:r>
            <w:r w:rsidRPr="00C66181">
              <w:rPr>
                <w:lang w:eastAsia="zh-CN"/>
              </w:rPr>
              <w:t>异议。</w:t>
            </w:r>
          </w:p>
          <w:p w14:paraId="797B0F27" w14:textId="77777777" w:rsidR="00D27BFA" w:rsidRPr="00EF6946" w:rsidRDefault="00D27BFA" w:rsidP="003A1A0F">
            <w:pPr>
              <w:pStyle w:val="af3"/>
              <w:rPr>
                <w:lang w:eastAsia="zh-CN"/>
              </w:rPr>
            </w:pPr>
          </w:p>
        </w:tc>
        <w:tc>
          <w:tcPr>
            <w:tcW w:w="3150" w:type="dxa"/>
          </w:tcPr>
          <w:p w14:paraId="0101545E" w14:textId="77777777" w:rsidR="00D27BFA" w:rsidRPr="00426FF5" w:rsidRDefault="00D27BFA" w:rsidP="003A1A0F">
            <w:pPr>
              <w:keepLines/>
              <w:widowControl w:val="0"/>
              <w:rPr>
                <w:rFonts w:eastAsia="Calibri" w:cstheme="minorHAnsi"/>
                <w:sz w:val="20"/>
                <w:szCs w:val="20"/>
                <w:lang w:eastAsia="zh-CN"/>
              </w:rPr>
            </w:pPr>
          </w:p>
          <w:p w14:paraId="2B0E3DBE" w14:textId="77777777" w:rsidR="00D27BFA" w:rsidRPr="0099379F" w:rsidRDefault="00D27BFA" w:rsidP="003A1A0F">
            <w:pPr>
              <w:keepLines/>
              <w:widowControl w:val="0"/>
              <w:rPr>
                <w:rFonts w:ascii="宋体" w:hAnsi="宋体"/>
                <w:sz w:val="20"/>
                <w:szCs w:val="20"/>
                <w:lang w:eastAsia="zh-CN"/>
              </w:rPr>
            </w:pPr>
            <w:r w:rsidRPr="0099379F">
              <w:rPr>
                <w:rFonts w:ascii="宋体" w:hAnsi="宋体" w:hint="eastAsia"/>
                <w:sz w:val="20"/>
                <w:szCs w:val="20"/>
                <w:lang w:eastAsia="zh-CN"/>
              </w:rPr>
              <w:t>在技术援助活动招标程序开始之前，以及在整个技术援助活动实施过程中。</w:t>
            </w:r>
          </w:p>
          <w:p w14:paraId="5C636037" w14:textId="77777777" w:rsidR="00D27BFA" w:rsidRPr="00302478" w:rsidRDefault="00D27BFA" w:rsidP="003A1A0F">
            <w:pPr>
              <w:keepLines/>
              <w:widowControl w:val="0"/>
              <w:rPr>
                <w:rFonts w:eastAsia="Calibri" w:cstheme="minorHAnsi"/>
                <w:sz w:val="20"/>
                <w:szCs w:val="20"/>
                <w:lang w:eastAsia="zh-CN"/>
              </w:rPr>
            </w:pPr>
          </w:p>
          <w:p w14:paraId="34ABA6E3" w14:textId="77777777" w:rsidR="00D27BFA" w:rsidRDefault="00D27BFA" w:rsidP="003A1A0F">
            <w:pPr>
              <w:keepLines/>
              <w:widowControl w:val="0"/>
              <w:rPr>
                <w:rFonts w:ascii="宋体" w:hAnsi="宋体"/>
                <w:sz w:val="20"/>
                <w:szCs w:val="20"/>
                <w:lang w:eastAsia="zh-CN"/>
              </w:rPr>
            </w:pPr>
            <w:r w:rsidRPr="0099379F">
              <w:rPr>
                <w:rFonts w:ascii="宋体" w:hAnsi="宋体" w:hint="eastAsia"/>
                <w:sz w:val="20"/>
                <w:szCs w:val="20"/>
                <w:lang w:eastAsia="zh-CN"/>
              </w:rPr>
              <w:t>在接受所有工作大纲和技术援助成果报告之前。</w:t>
            </w:r>
          </w:p>
          <w:p w14:paraId="6B6EFA2D" w14:textId="77777777" w:rsidR="00813212" w:rsidRPr="00302478" w:rsidRDefault="00813212" w:rsidP="003A1A0F">
            <w:pPr>
              <w:keepLines/>
              <w:widowControl w:val="0"/>
              <w:rPr>
                <w:rFonts w:eastAsia="Times New Roman" w:cstheme="minorHAnsi"/>
                <w:bCs/>
                <w:sz w:val="20"/>
                <w:szCs w:val="20"/>
                <w:lang w:eastAsia="zh-CN"/>
              </w:rPr>
            </w:pPr>
          </w:p>
        </w:tc>
        <w:tc>
          <w:tcPr>
            <w:tcW w:w="2160" w:type="dxa"/>
          </w:tcPr>
          <w:p w14:paraId="1B8090ED" w14:textId="77777777" w:rsidR="00D27BFA" w:rsidRPr="00302478" w:rsidRDefault="00D27BFA" w:rsidP="003A1A0F">
            <w:pPr>
              <w:keepLines/>
              <w:widowControl w:val="0"/>
              <w:rPr>
                <w:rFonts w:cstheme="minorHAnsi"/>
                <w:sz w:val="20"/>
                <w:szCs w:val="20"/>
              </w:rPr>
            </w:pPr>
            <w:r>
              <w:rPr>
                <w:rFonts w:cstheme="minorHAnsi" w:hint="eastAsia"/>
                <w:sz w:val="20"/>
                <w:szCs w:val="20"/>
                <w:lang w:eastAsia="zh-CN"/>
              </w:rPr>
              <w:t>FECO PMO</w:t>
            </w:r>
          </w:p>
          <w:p w14:paraId="2E44A240" w14:textId="77777777" w:rsidR="00D27BFA" w:rsidRPr="00302478" w:rsidRDefault="00D27BFA" w:rsidP="003A1A0F">
            <w:pPr>
              <w:keepLines/>
              <w:widowControl w:val="0"/>
              <w:rPr>
                <w:rFonts w:cstheme="minorHAnsi"/>
                <w:sz w:val="20"/>
                <w:szCs w:val="20"/>
              </w:rPr>
            </w:pPr>
          </w:p>
          <w:p w14:paraId="1A113609" w14:textId="77777777" w:rsidR="00D27BFA" w:rsidRPr="00302478" w:rsidRDefault="00D27BFA" w:rsidP="003A1A0F">
            <w:pPr>
              <w:keepLines/>
              <w:widowControl w:val="0"/>
              <w:rPr>
                <w:rFonts w:cstheme="minorHAnsi"/>
                <w:sz w:val="20"/>
                <w:szCs w:val="20"/>
              </w:rPr>
            </w:pPr>
          </w:p>
        </w:tc>
      </w:tr>
      <w:tr w:rsidR="00D27BFA" w:rsidRPr="00302478" w14:paraId="345EA213" w14:textId="77777777" w:rsidTr="003A1A0F">
        <w:trPr>
          <w:cantSplit/>
          <w:trHeight w:val="233"/>
        </w:trPr>
        <w:tc>
          <w:tcPr>
            <w:tcW w:w="14305" w:type="dxa"/>
            <w:gridSpan w:val="4"/>
            <w:shd w:val="clear" w:color="auto" w:fill="F1A983" w:themeFill="accent2" w:themeFillTint="99"/>
          </w:tcPr>
          <w:p w14:paraId="7FB741A7" w14:textId="77777777" w:rsidR="00D27BFA" w:rsidRPr="00302478" w:rsidRDefault="00D27BFA" w:rsidP="003A1A0F">
            <w:pPr>
              <w:keepLines/>
              <w:widowControl w:val="0"/>
              <w:rPr>
                <w:rFonts w:cstheme="minorHAnsi"/>
                <w:sz w:val="20"/>
                <w:szCs w:val="20"/>
                <w:lang w:eastAsia="zh-CN"/>
              </w:rPr>
            </w:pPr>
            <w:r>
              <w:rPr>
                <w:rFonts w:cstheme="minorHAnsi" w:hint="eastAsia"/>
                <w:b/>
                <w:sz w:val="20"/>
                <w:szCs w:val="20"/>
                <w:lang w:eastAsia="zh-CN"/>
              </w:rPr>
              <w:lastRenderedPageBreak/>
              <w:t>环境和社会标准</w:t>
            </w:r>
            <w:r w:rsidRPr="00302478">
              <w:rPr>
                <w:rFonts w:cstheme="minorHAnsi"/>
                <w:b/>
                <w:sz w:val="20"/>
                <w:szCs w:val="20"/>
                <w:lang w:eastAsia="zh-CN"/>
              </w:rPr>
              <w:t xml:space="preserve"> 2:  </w:t>
            </w:r>
            <w:r>
              <w:rPr>
                <w:rFonts w:cstheme="minorHAnsi" w:hint="eastAsia"/>
                <w:b/>
                <w:sz w:val="20"/>
                <w:szCs w:val="20"/>
                <w:lang w:eastAsia="zh-CN"/>
              </w:rPr>
              <w:t>劳工及工作条件</w:t>
            </w:r>
          </w:p>
        </w:tc>
      </w:tr>
      <w:tr w:rsidR="00D27BFA" w:rsidRPr="00302478" w14:paraId="5974A2A1" w14:textId="77777777" w:rsidTr="003A1A0F">
        <w:trPr>
          <w:trHeight w:val="20"/>
        </w:trPr>
        <w:tc>
          <w:tcPr>
            <w:tcW w:w="625" w:type="dxa"/>
          </w:tcPr>
          <w:p w14:paraId="2D7C76DD" w14:textId="77777777" w:rsidR="00D27BFA" w:rsidRPr="00302478" w:rsidRDefault="00D27BFA" w:rsidP="003A1A0F">
            <w:pPr>
              <w:keepLines/>
              <w:widowControl w:val="0"/>
              <w:jc w:val="center"/>
              <w:rPr>
                <w:rFonts w:cstheme="minorHAnsi"/>
                <w:sz w:val="20"/>
                <w:szCs w:val="20"/>
              </w:rPr>
            </w:pPr>
            <w:r w:rsidRPr="00302478">
              <w:rPr>
                <w:rFonts w:cstheme="minorHAnsi"/>
                <w:sz w:val="20"/>
                <w:szCs w:val="20"/>
              </w:rPr>
              <w:t>2.1</w:t>
            </w:r>
          </w:p>
        </w:tc>
        <w:tc>
          <w:tcPr>
            <w:tcW w:w="8370" w:type="dxa"/>
          </w:tcPr>
          <w:p w14:paraId="6FF88BFA" w14:textId="348246D7" w:rsidR="00D27BFA" w:rsidRPr="00CB1EE8" w:rsidRDefault="00D27BFA" w:rsidP="003A1A0F">
            <w:pPr>
              <w:keepLines/>
              <w:widowControl w:val="0"/>
              <w:rPr>
                <w:b/>
                <w:bCs/>
                <w:color w:val="156082" w:themeColor="accent1"/>
                <w:sz w:val="20"/>
                <w:szCs w:val="20"/>
                <w:lang w:eastAsia="zh-CN"/>
              </w:rPr>
            </w:pPr>
            <w:r w:rsidRPr="00A74E24">
              <w:rPr>
                <w:b/>
                <w:bCs/>
                <w:color w:val="156082" w:themeColor="accent1"/>
                <w:sz w:val="20"/>
                <w:szCs w:val="20"/>
                <w:lang w:eastAsia="zh-CN"/>
              </w:rPr>
              <w:t>劳工管理程序</w:t>
            </w:r>
          </w:p>
          <w:p w14:paraId="2D1EF01B" w14:textId="77777777" w:rsidR="00D27BFA" w:rsidRDefault="00D27BFA" w:rsidP="003A1A0F">
            <w:pPr>
              <w:keepLines/>
              <w:widowControl w:val="0"/>
              <w:rPr>
                <w:sz w:val="20"/>
                <w:szCs w:val="20"/>
                <w:lang w:eastAsia="zh-CN"/>
              </w:rPr>
            </w:pPr>
            <w:r w:rsidRPr="00A74E24">
              <w:rPr>
                <w:sz w:val="20"/>
                <w:szCs w:val="20"/>
                <w:lang w:eastAsia="zh-CN"/>
              </w:rPr>
              <w:t>确保项目办公室人员的劳工管理程序符合国家法律法规和世界银行环境和社会标准2（ESS2）的要求。</w:t>
            </w:r>
          </w:p>
          <w:p w14:paraId="43857839" w14:textId="774F33C7" w:rsidR="00D27BFA" w:rsidRPr="00CB1EE8" w:rsidRDefault="00D27BFA" w:rsidP="003A1A0F">
            <w:pPr>
              <w:keepLines/>
              <w:widowControl w:val="0"/>
              <w:rPr>
                <w:sz w:val="20"/>
                <w:szCs w:val="20"/>
                <w:lang w:eastAsia="zh-CN"/>
              </w:rPr>
            </w:pPr>
            <w:r w:rsidRPr="00A74E24">
              <w:rPr>
                <w:sz w:val="20"/>
                <w:szCs w:val="20"/>
                <w:lang w:eastAsia="zh-CN"/>
              </w:rPr>
              <w:t>确保技术援助活动咨询单位的劳工管理程序符合国家法律法规和世界银行环境和社会标准2（ESS2）的要求。</w:t>
            </w:r>
          </w:p>
        </w:tc>
        <w:tc>
          <w:tcPr>
            <w:tcW w:w="3150" w:type="dxa"/>
          </w:tcPr>
          <w:p w14:paraId="7261F9B2" w14:textId="77777777" w:rsidR="00D27BFA" w:rsidRPr="00302478" w:rsidRDefault="00D27BFA" w:rsidP="003A1A0F">
            <w:pPr>
              <w:keepLines/>
              <w:widowControl w:val="0"/>
              <w:rPr>
                <w:rFonts w:eastAsia="Times New Roman"/>
                <w:sz w:val="20"/>
                <w:szCs w:val="20"/>
                <w:lang w:eastAsia="zh-CN"/>
              </w:rPr>
            </w:pPr>
            <w:r w:rsidRPr="00534C0C">
              <w:rPr>
                <w:rFonts w:cstheme="minorHAnsi"/>
                <w:sz w:val="20"/>
                <w:szCs w:val="20"/>
                <w:lang w:eastAsia="zh-CN"/>
              </w:rPr>
              <w:t>在相关技术援助活动开始招标程序之前，并在整个活动实施期间。</w:t>
            </w:r>
          </w:p>
        </w:tc>
        <w:tc>
          <w:tcPr>
            <w:tcW w:w="2160" w:type="dxa"/>
          </w:tcPr>
          <w:p w14:paraId="33B51D72" w14:textId="77777777" w:rsidR="00D27BFA" w:rsidRPr="00302478" w:rsidRDefault="00D27BFA" w:rsidP="003A1A0F">
            <w:pPr>
              <w:keepLines/>
              <w:widowControl w:val="0"/>
              <w:rPr>
                <w:rFonts w:cstheme="minorHAnsi"/>
                <w:sz w:val="20"/>
                <w:szCs w:val="20"/>
              </w:rPr>
            </w:pPr>
            <w:r>
              <w:rPr>
                <w:rFonts w:cstheme="minorHAnsi" w:hint="eastAsia"/>
                <w:sz w:val="20"/>
                <w:szCs w:val="20"/>
                <w:lang w:eastAsia="zh-CN"/>
              </w:rPr>
              <w:t xml:space="preserve">FECO </w:t>
            </w:r>
            <w:r w:rsidRPr="00492DF7">
              <w:rPr>
                <w:rFonts w:cstheme="minorHAnsi"/>
                <w:sz w:val="20"/>
                <w:szCs w:val="20"/>
                <w:lang w:eastAsia="zh-CN"/>
              </w:rPr>
              <w:t xml:space="preserve">PMO </w:t>
            </w:r>
          </w:p>
          <w:p w14:paraId="46377AF3" w14:textId="77777777" w:rsidR="00D27BFA" w:rsidRPr="00302478" w:rsidRDefault="00D27BFA" w:rsidP="003A1A0F">
            <w:pPr>
              <w:keepLines/>
              <w:widowControl w:val="0"/>
              <w:rPr>
                <w:rFonts w:cstheme="minorHAnsi"/>
                <w:sz w:val="20"/>
                <w:szCs w:val="20"/>
              </w:rPr>
            </w:pPr>
          </w:p>
        </w:tc>
      </w:tr>
      <w:tr w:rsidR="00D27BFA" w:rsidRPr="00302478" w14:paraId="4CA705EF" w14:textId="77777777" w:rsidTr="003A1A0F">
        <w:trPr>
          <w:trHeight w:val="20"/>
        </w:trPr>
        <w:tc>
          <w:tcPr>
            <w:tcW w:w="625" w:type="dxa"/>
          </w:tcPr>
          <w:p w14:paraId="6A8FD8F8" w14:textId="77777777" w:rsidR="00D27BFA" w:rsidRPr="00302478" w:rsidRDefault="00D27BFA" w:rsidP="003A1A0F">
            <w:pPr>
              <w:keepLines/>
              <w:widowControl w:val="0"/>
              <w:jc w:val="center"/>
              <w:rPr>
                <w:rFonts w:cstheme="minorHAnsi"/>
                <w:sz w:val="20"/>
                <w:szCs w:val="20"/>
              </w:rPr>
            </w:pPr>
            <w:r w:rsidRPr="00302478">
              <w:rPr>
                <w:rFonts w:cstheme="minorHAnsi"/>
                <w:sz w:val="20"/>
                <w:szCs w:val="20"/>
              </w:rPr>
              <w:t>2.2</w:t>
            </w:r>
          </w:p>
        </w:tc>
        <w:tc>
          <w:tcPr>
            <w:tcW w:w="8370" w:type="dxa"/>
          </w:tcPr>
          <w:p w14:paraId="743DEC0C" w14:textId="08065DF5" w:rsidR="00D27BFA" w:rsidRPr="007A75A1" w:rsidRDefault="00D27BFA" w:rsidP="003A1A0F">
            <w:pPr>
              <w:keepLines/>
              <w:widowControl w:val="0"/>
              <w:rPr>
                <w:rFonts w:cstheme="minorHAnsi"/>
                <w:b/>
                <w:color w:val="156082" w:themeColor="accent1"/>
                <w:sz w:val="20"/>
                <w:szCs w:val="20"/>
                <w:lang w:eastAsia="zh-CN"/>
              </w:rPr>
            </w:pPr>
            <w:r w:rsidRPr="007A75A1">
              <w:rPr>
                <w:rFonts w:cstheme="minorHAnsi"/>
                <w:b/>
                <w:color w:val="156082" w:themeColor="accent1"/>
                <w:sz w:val="20"/>
                <w:szCs w:val="20"/>
                <w:lang w:eastAsia="zh-CN"/>
              </w:rPr>
              <w:t>职业健康与安全管理计划</w:t>
            </w:r>
          </w:p>
          <w:p w14:paraId="2DA29C4E" w14:textId="694E6C8F" w:rsidR="00D27BFA" w:rsidRPr="00CB1EE8" w:rsidRDefault="00D27BFA" w:rsidP="003A1A0F">
            <w:pPr>
              <w:keepLines/>
              <w:widowControl w:val="0"/>
              <w:rPr>
                <w:rFonts w:cstheme="minorHAnsi"/>
                <w:sz w:val="20"/>
                <w:szCs w:val="20"/>
                <w:lang w:eastAsia="zh-CN"/>
              </w:rPr>
            </w:pPr>
            <w:r w:rsidRPr="007A75A1">
              <w:rPr>
                <w:rFonts w:cstheme="minorHAnsi"/>
                <w:sz w:val="20"/>
                <w:szCs w:val="20"/>
                <w:lang w:eastAsia="zh-CN"/>
              </w:rPr>
              <w:t>根据环境和社会管理框架（ESMF）的要求，制定和实施符合环境和社会标准2（ESS2）要求的职业健康与安全（OHS）措施，并管理项目的职业健康与安全风险和影响。</w:t>
            </w:r>
          </w:p>
        </w:tc>
        <w:tc>
          <w:tcPr>
            <w:tcW w:w="3150" w:type="dxa"/>
          </w:tcPr>
          <w:p w14:paraId="52532AB6" w14:textId="77777777" w:rsidR="00D27BFA" w:rsidRPr="00302478" w:rsidRDefault="00D27BFA" w:rsidP="003A1A0F">
            <w:pPr>
              <w:keepLines/>
              <w:widowControl w:val="0"/>
              <w:rPr>
                <w:rFonts w:eastAsia="Times New Roman"/>
                <w:sz w:val="20"/>
                <w:szCs w:val="20"/>
                <w:lang w:eastAsia="zh-CN"/>
              </w:rPr>
            </w:pPr>
            <w:r w:rsidRPr="00534C0C">
              <w:rPr>
                <w:rFonts w:cstheme="minorHAnsi"/>
                <w:sz w:val="20"/>
                <w:szCs w:val="20"/>
                <w:lang w:eastAsia="zh-CN"/>
              </w:rPr>
              <w:t>在相关技术援助活动开始招标程序之前，并在整个活动实施期间。</w:t>
            </w:r>
          </w:p>
        </w:tc>
        <w:tc>
          <w:tcPr>
            <w:tcW w:w="2160" w:type="dxa"/>
          </w:tcPr>
          <w:p w14:paraId="5B9A61CE" w14:textId="77777777" w:rsidR="00D27BFA" w:rsidRPr="00302478" w:rsidRDefault="00D27BFA" w:rsidP="003A1A0F">
            <w:pPr>
              <w:keepLines/>
              <w:widowControl w:val="0"/>
              <w:rPr>
                <w:rFonts w:cstheme="minorHAnsi"/>
                <w:sz w:val="20"/>
                <w:szCs w:val="20"/>
              </w:rPr>
            </w:pPr>
            <w:r>
              <w:rPr>
                <w:rFonts w:cstheme="minorHAnsi" w:hint="eastAsia"/>
                <w:sz w:val="20"/>
                <w:szCs w:val="20"/>
                <w:lang w:eastAsia="zh-CN"/>
              </w:rPr>
              <w:t xml:space="preserve">FECO </w:t>
            </w:r>
            <w:r w:rsidRPr="00492DF7">
              <w:rPr>
                <w:rFonts w:cstheme="minorHAnsi"/>
                <w:sz w:val="20"/>
                <w:szCs w:val="20"/>
                <w:lang w:eastAsia="zh-CN"/>
              </w:rPr>
              <w:t xml:space="preserve">PMO </w:t>
            </w:r>
          </w:p>
        </w:tc>
      </w:tr>
      <w:tr w:rsidR="00D27BFA" w:rsidRPr="00302478" w14:paraId="0BD9DFBA" w14:textId="77777777" w:rsidTr="003A1A0F">
        <w:trPr>
          <w:trHeight w:val="20"/>
        </w:trPr>
        <w:tc>
          <w:tcPr>
            <w:tcW w:w="625" w:type="dxa"/>
          </w:tcPr>
          <w:p w14:paraId="3E9B8375" w14:textId="77777777" w:rsidR="00D27BFA" w:rsidRPr="00302478" w:rsidRDefault="00D27BFA" w:rsidP="003A1A0F">
            <w:pPr>
              <w:keepLines/>
              <w:widowControl w:val="0"/>
              <w:jc w:val="center"/>
              <w:rPr>
                <w:rFonts w:cstheme="minorHAnsi"/>
                <w:sz w:val="20"/>
                <w:szCs w:val="20"/>
              </w:rPr>
            </w:pPr>
            <w:r w:rsidRPr="00302478">
              <w:rPr>
                <w:rFonts w:cstheme="minorHAnsi"/>
                <w:sz w:val="20"/>
                <w:szCs w:val="20"/>
              </w:rPr>
              <w:t>2.3</w:t>
            </w:r>
          </w:p>
        </w:tc>
        <w:tc>
          <w:tcPr>
            <w:tcW w:w="8370" w:type="dxa"/>
          </w:tcPr>
          <w:p w14:paraId="2AA62BFB" w14:textId="37C7D36A" w:rsidR="00D27BFA" w:rsidRPr="002F50F1" w:rsidRDefault="00D27BFA" w:rsidP="002F50F1">
            <w:pPr>
              <w:keepLines/>
              <w:widowControl w:val="0"/>
              <w:rPr>
                <w:rFonts w:cstheme="minorHAnsi"/>
                <w:b/>
                <w:color w:val="156082" w:themeColor="accent1"/>
                <w:sz w:val="20"/>
                <w:szCs w:val="20"/>
                <w:lang w:eastAsia="zh-CN"/>
              </w:rPr>
            </w:pPr>
            <w:r w:rsidRPr="002F50F1">
              <w:rPr>
                <w:rFonts w:cstheme="minorHAnsi" w:hint="eastAsia"/>
                <w:b/>
                <w:color w:val="156082" w:themeColor="accent1"/>
                <w:sz w:val="20"/>
                <w:szCs w:val="20"/>
                <w:lang w:eastAsia="zh-CN"/>
              </w:rPr>
              <w:t>项目工作人员申诉机制</w:t>
            </w:r>
          </w:p>
          <w:p w14:paraId="37A008BC" w14:textId="00A7933A" w:rsidR="00D27BFA" w:rsidRPr="00CB1EE8" w:rsidRDefault="00D27BFA" w:rsidP="003A1A0F">
            <w:pPr>
              <w:rPr>
                <w:sz w:val="20"/>
                <w:szCs w:val="20"/>
                <w:lang w:eastAsia="zh-CN"/>
              </w:rPr>
            </w:pPr>
            <w:r w:rsidRPr="00F8709F">
              <w:rPr>
                <w:sz w:val="20"/>
                <w:szCs w:val="20"/>
                <w:lang w:eastAsia="zh-CN"/>
              </w:rPr>
              <w:t>按照环境和社会管理框架（ESMF）的描述并符合环境和社会标准2（ESS2）的要求，建立和运行项目工作人员/员工的申诉机制。</w:t>
            </w:r>
          </w:p>
        </w:tc>
        <w:tc>
          <w:tcPr>
            <w:tcW w:w="3150" w:type="dxa"/>
          </w:tcPr>
          <w:p w14:paraId="117BE18D" w14:textId="77777777" w:rsidR="00D27BFA" w:rsidRPr="00302478" w:rsidRDefault="00D27BFA" w:rsidP="003A1A0F">
            <w:pPr>
              <w:keepLines/>
              <w:widowControl w:val="0"/>
              <w:rPr>
                <w:rFonts w:cstheme="minorHAnsi"/>
                <w:sz w:val="20"/>
                <w:szCs w:val="20"/>
                <w:lang w:eastAsia="zh-CN"/>
              </w:rPr>
            </w:pPr>
            <w:r w:rsidRPr="00534C0C">
              <w:rPr>
                <w:rFonts w:cstheme="minorHAnsi"/>
                <w:sz w:val="20"/>
                <w:szCs w:val="20"/>
                <w:lang w:eastAsia="zh-CN"/>
              </w:rPr>
              <w:t>在相关技术援助活动开始招标程序之前，并在整个活动实施期间。</w:t>
            </w:r>
          </w:p>
        </w:tc>
        <w:tc>
          <w:tcPr>
            <w:tcW w:w="2160" w:type="dxa"/>
          </w:tcPr>
          <w:p w14:paraId="58889C1D" w14:textId="77777777" w:rsidR="00D27BFA" w:rsidRPr="00302478" w:rsidRDefault="00D27BFA" w:rsidP="003A1A0F">
            <w:pPr>
              <w:keepLines/>
              <w:widowControl w:val="0"/>
              <w:rPr>
                <w:rFonts w:cstheme="minorHAnsi"/>
                <w:sz w:val="20"/>
                <w:szCs w:val="20"/>
              </w:rPr>
            </w:pPr>
            <w:r>
              <w:rPr>
                <w:rFonts w:cstheme="minorHAnsi" w:hint="eastAsia"/>
                <w:sz w:val="20"/>
                <w:szCs w:val="20"/>
                <w:lang w:eastAsia="zh-CN"/>
              </w:rPr>
              <w:t xml:space="preserve">FECO </w:t>
            </w:r>
            <w:r w:rsidRPr="00492DF7">
              <w:rPr>
                <w:rFonts w:cstheme="minorHAnsi"/>
                <w:sz w:val="20"/>
                <w:szCs w:val="20"/>
                <w:lang w:eastAsia="zh-CN"/>
              </w:rPr>
              <w:t xml:space="preserve">PMO </w:t>
            </w:r>
          </w:p>
        </w:tc>
      </w:tr>
      <w:tr w:rsidR="00D27BFA" w:rsidRPr="00302478" w14:paraId="07A47849" w14:textId="77777777" w:rsidTr="003A1A0F">
        <w:trPr>
          <w:trHeight w:val="20"/>
        </w:trPr>
        <w:tc>
          <w:tcPr>
            <w:tcW w:w="14305" w:type="dxa"/>
            <w:gridSpan w:val="4"/>
            <w:shd w:val="clear" w:color="auto" w:fill="F1A983" w:themeFill="accent2" w:themeFillTint="99"/>
          </w:tcPr>
          <w:p w14:paraId="40689838" w14:textId="77777777" w:rsidR="00D27BFA" w:rsidRPr="00302478" w:rsidRDefault="00D27BFA" w:rsidP="003A1A0F">
            <w:pPr>
              <w:keepLines/>
              <w:widowControl w:val="0"/>
              <w:rPr>
                <w:rFonts w:cstheme="minorHAnsi"/>
                <w:sz w:val="20"/>
                <w:szCs w:val="20"/>
                <w:lang w:eastAsia="zh-CN"/>
              </w:rPr>
            </w:pPr>
            <w:r w:rsidRPr="009F176B">
              <w:rPr>
                <w:rFonts w:cstheme="minorHAnsi"/>
                <w:b/>
                <w:sz w:val="20"/>
                <w:szCs w:val="20"/>
                <w:lang w:eastAsia="zh-CN"/>
              </w:rPr>
              <w:t>环境和社会标准3：资源效率和污染防治管理</w:t>
            </w:r>
          </w:p>
        </w:tc>
      </w:tr>
      <w:tr w:rsidR="00D27BFA" w:rsidRPr="00302478" w14:paraId="74FD3286" w14:textId="77777777" w:rsidTr="003A1A0F">
        <w:trPr>
          <w:trHeight w:val="20"/>
        </w:trPr>
        <w:tc>
          <w:tcPr>
            <w:tcW w:w="625" w:type="dxa"/>
          </w:tcPr>
          <w:p w14:paraId="4BA73720" w14:textId="77777777" w:rsidR="00D27BFA" w:rsidRPr="00302478" w:rsidRDefault="00D27BFA" w:rsidP="003A1A0F">
            <w:pPr>
              <w:keepLines/>
              <w:widowControl w:val="0"/>
              <w:jc w:val="center"/>
              <w:rPr>
                <w:rFonts w:cstheme="minorHAnsi"/>
                <w:sz w:val="20"/>
                <w:szCs w:val="20"/>
              </w:rPr>
            </w:pPr>
            <w:r w:rsidRPr="00302478">
              <w:rPr>
                <w:rFonts w:cstheme="minorHAnsi"/>
                <w:sz w:val="20"/>
                <w:szCs w:val="20"/>
              </w:rPr>
              <w:t>3.1</w:t>
            </w:r>
          </w:p>
        </w:tc>
        <w:tc>
          <w:tcPr>
            <w:tcW w:w="8370" w:type="dxa"/>
          </w:tcPr>
          <w:p w14:paraId="68FA9FB6" w14:textId="77777777" w:rsidR="00D27BFA" w:rsidRPr="00A9166C" w:rsidRDefault="00D27BFA" w:rsidP="003A1A0F">
            <w:pPr>
              <w:keepLines/>
              <w:widowControl w:val="0"/>
              <w:rPr>
                <w:rFonts w:cstheme="minorHAnsi"/>
                <w:b/>
                <w:color w:val="156082" w:themeColor="accent1"/>
                <w:sz w:val="20"/>
                <w:szCs w:val="20"/>
                <w:lang w:eastAsia="zh-CN"/>
              </w:rPr>
            </w:pPr>
            <w:r w:rsidRPr="00A9166C">
              <w:rPr>
                <w:rFonts w:cstheme="minorHAnsi"/>
                <w:b/>
                <w:color w:val="156082" w:themeColor="accent1"/>
                <w:sz w:val="20"/>
                <w:szCs w:val="20"/>
                <w:lang w:eastAsia="zh-CN"/>
              </w:rPr>
              <w:t>废物管理计划</w:t>
            </w:r>
          </w:p>
          <w:p w14:paraId="081D4268" w14:textId="77777777" w:rsidR="00D27BFA" w:rsidRPr="00A9166C" w:rsidRDefault="00D27BFA" w:rsidP="003A1A0F">
            <w:pPr>
              <w:keepLines/>
              <w:widowControl w:val="0"/>
              <w:rPr>
                <w:sz w:val="20"/>
                <w:szCs w:val="20"/>
                <w:lang w:eastAsia="zh-CN"/>
              </w:rPr>
            </w:pPr>
            <w:r w:rsidRPr="3BDF0E4F">
              <w:rPr>
                <w:sz w:val="20"/>
                <w:szCs w:val="20"/>
                <w:lang w:eastAsia="zh-CN"/>
              </w:rPr>
              <w:t>在项目实施期间，</w:t>
            </w:r>
            <w:r w:rsidRPr="0FCBBA4E">
              <w:rPr>
                <w:sz w:val="20"/>
                <w:szCs w:val="20"/>
                <w:lang w:eastAsia="zh-CN"/>
              </w:rPr>
              <w:t>如果有的话，为潜在的下游活动，</w:t>
            </w:r>
            <w:r w:rsidRPr="587F48FA">
              <w:rPr>
                <w:sz w:val="20"/>
                <w:szCs w:val="20"/>
                <w:lang w:eastAsia="zh-CN"/>
              </w:rPr>
              <w:t>提出</w:t>
            </w:r>
            <w:r w:rsidRPr="0FCBBA4E">
              <w:rPr>
                <w:sz w:val="20"/>
                <w:szCs w:val="20"/>
                <w:lang w:eastAsia="zh-CN"/>
              </w:rPr>
              <w:t>符合环境和社会标准</w:t>
            </w:r>
            <w:r w:rsidRPr="3BDF0E4F">
              <w:rPr>
                <w:sz w:val="20"/>
                <w:szCs w:val="20"/>
                <w:lang w:eastAsia="zh-CN"/>
              </w:rPr>
              <w:t>3（ESS3）</w:t>
            </w:r>
            <w:r w:rsidRPr="587F48FA">
              <w:rPr>
                <w:sz w:val="20"/>
                <w:szCs w:val="20"/>
                <w:lang w:eastAsia="zh-CN"/>
              </w:rPr>
              <w:t>要求的</w:t>
            </w:r>
            <w:r>
              <w:rPr>
                <w:rFonts w:hint="eastAsia"/>
                <w:sz w:val="20"/>
                <w:szCs w:val="20"/>
                <w:lang w:eastAsia="zh-CN"/>
              </w:rPr>
              <w:t>危险</w:t>
            </w:r>
            <w:r w:rsidRPr="587F48FA">
              <w:rPr>
                <w:sz w:val="20"/>
                <w:szCs w:val="20"/>
                <w:lang w:eastAsia="zh-CN"/>
              </w:rPr>
              <w:t>废物</w:t>
            </w:r>
            <w:r>
              <w:rPr>
                <w:rFonts w:hint="eastAsia"/>
                <w:sz w:val="20"/>
                <w:szCs w:val="20"/>
                <w:lang w:eastAsia="zh-CN"/>
              </w:rPr>
              <w:t>和非危险废物</w:t>
            </w:r>
            <w:r w:rsidRPr="587F48FA">
              <w:rPr>
                <w:sz w:val="20"/>
                <w:szCs w:val="20"/>
                <w:lang w:eastAsia="zh-CN"/>
              </w:rPr>
              <w:t>管理措施建议</w:t>
            </w:r>
            <w:r>
              <w:rPr>
                <w:rFonts w:hint="eastAsia"/>
                <w:sz w:val="20"/>
                <w:szCs w:val="20"/>
                <w:lang w:eastAsia="zh-CN"/>
              </w:rPr>
              <w:t>，并将该建议纳入到产出报告中。工作大纲和报告产出应</w:t>
            </w:r>
            <w:r w:rsidRPr="00AA24CD">
              <w:rPr>
                <w:sz w:val="20"/>
                <w:szCs w:val="20"/>
                <w:lang w:eastAsia="zh-CN"/>
              </w:rPr>
              <w:t>提交世界银行审查并获得无异议</w:t>
            </w:r>
            <w:r>
              <w:rPr>
                <w:rFonts w:hint="eastAsia"/>
                <w:sz w:val="20"/>
                <w:szCs w:val="20"/>
                <w:lang w:eastAsia="zh-CN"/>
              </w:rPr>
              <w:t>意见</w:t>
            </w:r>
            <w:r w:rsidRPr="00AA24CD">
              <w:rPr>
                <w:sz w:val="20"/>
                <w:szCs w:val="20"/>
                <w:lang w:eastAsia="zh-CN"/>
              </w:rPr>
              <w:t>。</w:t>
            </w:r>
          </w:p>
          <w:p w14:paraId="658933F8" w14:textId="77777777" w:rsidR="00D27BFA" w:rsidRPr="00302478" w:rsidRDefault="00D27BFA" w:rsidP="003A1A0F">
            <w:pPr>
              <w:keepLines/>
              <w:widowControl w:val="0"/>
              <w:rPr>
                <w:rFonts w:cstheme="minorHAnsi"/>
                <w:sz w:val="20"/>
                <w:szCs w:val="20"/>
                <w:lang w:eastAsia="zh-CN"/>
              </w:rPr>
            </w:pPr>
          </w:p>
        </w:tc>
        <w:tc>
          <w:tcPr>
            <w:tcW w:w="3150" w:type="dxa"/>
          </w:tcPr>
          <w:p w14:paraId="5B9BA708" w14:textId="77777777" w:rsidR="00D27BFA" w:rsidRPr="00302478" w:rsidRDefault="00D27BFA" w:rsidP="003A1A0F">
            <w:pPr>
              <w:keepLines/>
              <w:widowControl w:val="0"/>
              <w:rPr>
                <w:sz w:val="20"/>
                <w:szCs w:val="20"/>
                <w:lang w:eastAsia="zh-CN"/>
              </w:rPr>
            </w:pPr>
            <w:r w:rsidRPr="00534C0C">
              <w:rPr>
                <w:rFonts w:cstheme="minorHAnsi"/>
                <w:sz w:val="20"/>
                <w:szCs w:val="20"/>
                <w:lang w:eastAsia="zh-CN"/>
              </w:rPr>
              <w:lastRenderedPageBreak/>
              <w:t>在相关技术援助活动开始招标程序之前，并在整个活动实施期间。</w:t>
            </w:r>
          </w:p>
        </w:tc>
        <w:tc>
          <w:tcPr>
            <w:tcW w:w="2160" w:type="dxa"/>
          </w:tcPr>
          <w:p w14:paraId="7D63B3FF" w14:textId="77777777" w:rsidR="00D27BFA" w:rsidRPr="00302478" w:rsidRDefault="00D27BFA" w:rsidP="003A1A0F">
            <w:pPr>
              <w:keepLines/>
              <w:widowControl w:val="0"/>
              <w:rPr>
                <w:rFonts w:cstheme="minorHAnsi"/>
                <w:sz w:val="20"/>
                <w:szCs w:val="20"/>
              </w:rPr>
            </w:pPr>
            <w:r>
              <w:rPr>
                <w:rFonts w:cstheme="minorHAnsi" w:hint="eastAsia"/>
                <w:sz w:val="20"/>
                <w:szCs w:val="20"/>
                <w:lang w:eastAsia="zh-CN"/>
              </w:rPr>
              <w:t xml:space="preserve">FECO </w:t>
            </w:r>
            <w:r w:rsidRPr="00492DF7">
              <w:rPr>
                <w:rFonts w:cstheme="minorHAnsi"/>
                <w:sz w:val="20"/>
                <w:szCs w:val="20"/>
                <w:lang w:eastAsia="zh-CN"/>
              </w:rPr>
              <w:t xml:space="preserve">PMO </w:t>
            </w:r>
          </w:p>
        </w:tc>
      </w:tr>
      <w:tr w:rsidR="00D27BFA" w:rsidRPr="00302478" w14:paraId="19701612" w14:textId="77777777" w:rsidTr="003A1A0F">
        <w:trPr>
          <w:trHeight w:val="20"/>
        </w:trPr>
        <w:tc>
          <w:tcPr>
            <w:tcW w:w="625" w:type="dxa"/>
          </w:tcPr>
          <w:p w14:paraId="3088264F" w14:textId="77777777" w:rsidR="00D27BFA" w:rsidRPr="00302478" w:rsidRDefault="00D27BFA" w:rsidP="003A1A0F">
            <w:pPr>
              <w:keepLines/>
              <w:widowControl w:val="0"/>
              <w:jc w:val="center"/>
              <w:rPr>
                <w:rFonts w:cstheme="minorHAnsi"/>
                <w:sz w:val="20"/>
                <w:szCs w:val="20"/>
              </w:rPr>
            </w:pPr>
            <w:r w:rsidRPr="00302478">
              <w:rPr>
                <w:rFonts w:cstheme="minorHAnsi"/>
                <w:sz w:val="20"/>
                <w:szCs w:val="20"/>
              </w:rPr>
              <w:t>3.2</w:t>
            </w:r>
          </w:p>
        </w:tc>
        <w:tc>
          <w:tcPr>
            <w:tcW w:w="8370" w:type="dxa"/>
          </w:tcPr>
          <w:p w14:paraId="72326044" w14:textId="77777777" w:rsidR="00D27BFA" w:rsidRPr="00A9166C" w:rsidRDefault="00D27BFA" w:rsidP="003A1A0F">
            <w:pPr>
              <w:keepLines/>
              <w:widowControl w:val="0"/>
              <w:rPr>
                <w:rFonts w:cstheme="minorHAnsi"/>
                <w:b/>
                <w:color w:val="156082" w:themeColor="accent1"/>
                <w:sz w:val="20"/>
                <w:szCs w:val="20"/>
                <w:lang w:eastAsia="zh-CN"/>
              </w:rPr>
            </w:pPr>
            <w:r w:rsidRPr="00A9166C">
              <w:rPr>
                <w:rFonts w:cstheme="minorHAnsi"/>
                <w:b/>
                <w:color w:val="156082" w:themeColor="accent1"/>
                <w:sz w:val="20"/>
                <w:szCs w:val="20"/>
                <w:lang w:eastAsia="zh-CN"/>
              </w:rPr>
              <w:t>资源效率和污染防治管理</w:t>
            </w:r>
          </w:p>
          <w:p w14:paraId="11A3FA0E" w14:textId="77777777" w:rsidR="00D27BFA" w:rsidRPr="00A9166C" w:rsidRDefault="00D27BFA" w:rsidP="003A1A0F">
            <w:pPr>
              <w:keepLines/>
              <w:widowControl w:val="0"/>
              <w:rPr>
                <w:sz w:val="20"/>
                <w:szCs w:val="20"/>
                <w:lang w:eastAsia="zh-CN"/>
              </w:rPr>
            </w:pPr>
            <w:r w:rsidRPr="00925E79">
              <w:rPr>
                <w:sz w:val="20"/>
                <w:szCs w:val="20"/>
                <w:lang w:eastAsia="zh-CN"/>
              </w:rPr>
              <w:t>在</w:t>
            </w:r>
            <w:r>
              <w:rPr>
                <w:rFonts w:hint="eastAsia"/>
                <w:sz w:val="20"/>
                <w:szCs w:val="20"/>
                <w:lang w:eastAsia="zh-CN"/>
              </w:rPr>
              <w:t>产出</w:t>
            </w:r>
            <w:r w:rsidRPr="00925E79">
              <w:rPr>
                <w:sz w:val="20"/>
                <w:szCs w:val="20"/>
                <w:lang w:eastAsia="zh-CN"/>
              </w:rPr>
              <w:t>报告中包含关于潜在下游活动的资源效率和污染防治管理措施的建议。工作大纲和</w:t>
            </w:r>
            <w:r>
              <w:rPr>
                <w:rFonts w:hint="eastAsia"/>
                <w:sz w:val="20"/>
                <w:szCs w:val="20"/>
                <w:lang w:eastAsia="zh-CN"/>
              </w:rPr>
              <w:t>产</w:t>
            </w:r>
            <w:r w:rsidRPr="00925E79">
              <w:rPr>
                <w:sz w:val="20"/>
                <w:szCs w:val="20"/>
                <w:lang w:eastAsia="zh-CN"/>
              </w:rPr>
              <w:t>出报告应提交世界银行审查并获得无异议</w:t>
            </w:r>
            <w:r>
              <w:rPr>
                <w:rFonts w:hint="eastAsia"/>
                <w:sz w:val="20"/>
                <w:szCs w:val="20"/>
                <w:lang w:eastAsia="zh-CN"/>
              </w:rPr>
              <w:t>意见</w:t>
            </w:r>
            <w:r w:rsidRPr="00925E79">
              <w:rPr>
                <w:sz w:val="20"/>
                <w:szCs w:val="20"/>
                <w:lang w:eastAsia="zh-CN"/>
              </w:rPr>
              <w:t>。</w:t>
            </w:r>
          </w:p>
        </w:tc>
        <w:tc>
          <w:tcPr>
            <w:tcW w:w="3150" w:type="dxa"/>
          </w:tcPr>
          <w:p w14:paraId="5ABCAD8C" w14:textId="77777777" w:rsidR="00D27BFA" w:rsidRPr="00302478" w:rsidDel="002D5209" w:rsidRDefault="00D27BFA" w:rsidP="003A1A0F">
            <w:pPr>
              <w:keepLines/>
              <w:widowControl w:val="0"/>
              <w:rPr>
                <w:rFonts w:cstheme="minorHAnsi"/>
                <w:sz w:val="20"/>
                <w:szCs w:val="20"/>
                <w:lang w:eastAsia="zh-CN"/>
              </w:rPr>
            </w:pPr>
            <w:r w:rsidRPr="00534C0C">
              <w:rPr>
                <w:rFonts w:cstheme="minorHAnsi"/>
                <w:sz w:val="20"/>
                <w:szCs w:val="20"/>
                <w:lang w:eastAsia="zh-CN"/>
              </w:rPr>
              <w:t>在相关技术援助活动开始招标程序之前，并在整个活动实施期间。</w:t>
            </w:r>
          </w:p>
        </w:tc>
        <w:tc>
          <w:tcPr>
            <w:tcW w:w="2160" w:type="dxa"/>
          </w:tcPr>
          <w:p w14:paraId="135AB21F" w14:textId="77777777" w:rsidR="00D27BFA" w:rsidRPr="00302478" w:rsidRDefault="00D27BFA" w:rsidP="003A1A0F">
            <w:pPr>
              <w:keepLines/>
              <w:widowControl w:val="0"/>
              <w:rPr>
                <w:rFonts w:cstheme="minorHAnsi"/>
                <w:sz w:val="20"/>
                <w:szCs w:val="20"/>
              </w:rPr>
            </w:pPr>
            <w:r>
              <w:rPr>
                <w:rFonts w:cstheme="minorHAnsi" w:hint="eastAsia"/>
                <w:sz w:val="20"/>
                <w:szCs w:val="20"/>
                <w:lang w:eastAsia="zh-CN"/>
              </w:rPr>
              <w:t xml:space="preserve">FECO </w:t>
            </w:r>
            <w:r w:rsidRPr="00492DF7">
              <w:rPr>
                <w:rFonts w:cstheme="minorHAnsi"/>
                <w:sz w:val="20"/>
                <w:szCs w:val="20"/>
                <w:lang w:eastAsia="zh-CN"/>
              </w:rPr>
              <w:t xml:space="preserve">PMO </w:t>
            </w:r>
          </w:p>
        </w:tc>
      </w:tr>
      <w:tr w:rsidR="00D27BFA" w:rsidRPr="00302478" w14:paraId="5FC5F40F" w14:textId="77777777" w:rsidTr="003A1A0F">
        <w:trPr>
          <w:trHeight w:val="20"/>
        </w:trPr>
        <w:tc>
          <w:tcPr>
            <w:tcW w:w="14305" w:type="dxa"/>
            <w:gridSpan w:val="4"/>
            <w:shd w:val="clear" w:color="auto" w:fill="F1A983" w:themeFill="accent2" w:themeFillTint="99"/>
          </w:tcPr>
          <w:p w14:paraId="7C0B7CF6" w14:textId="77777777" w:rsidR="00D27BFA" w:rsidRPr="00302478" w:rsidRDefault="00D27BFA" w:rsidP="003A1A0F">
            <w:pPr>
              <w:keepLines/>
              <w:widowControl w:val="0"/>
              <w:rPr>
                <w:rFonts w:cstheme="minorHAnsi"/>
                <w:sz w:val="20"/>
                <w:szCs w:val="20"/>
                <w:lang w:eastAsia="zh-CN"/>
              </w:rPr>
            </w:pPr>
            <w:r w:rsidRPr="00FF619A">
              <w:rPr>
                <w:rFonts w:cstheme="minorHAnsi"/>
                <w:b/>
                <w:bCs/>
                <w:sz w:val="20"/>
                <w:szCs w:val="20"/>
                <w:lang w:eastAsia="zh-CN"/>
              </w:rPr>
              <w:t>环境和社会标准4</w:t>
            </w:r>
            <w:r w:rsidRPr="00FF619A">
              <w:rPr>
                <w:rFonts w:cstheme="minorHAnsi"/>
                <w:sz w:val="20"/>
                <w:szCs w:val="20"/>
                <w:lang w:eastAsia="zh-CN"/>
              </w:rPr>
              <w:t>：社区健康与安全</w:t>
            </w:r>
          </w:p>
        </w:tc>
      </w:tr>
      <w:tr w:rsidR="00D27BFA" w:rsidRPr="00302478" w14:paraId="7AE7B5C5" w14:textId="77777777" w:rsidTr="003A1A0F">
        <w:trPr>
          <w:trHeight w:val="20"/>
        </w:trPr>
        <w:tc>
          <w:tcPr>
            <w:tcW w:w="625" w:type="dxa"/>
          </w:tcPr>
          <w:p w14:paraId="4830C5AE" w14:textId="77777777" w:rsidR="00D27BFA" w:rsidRPr="00302478" w:rsidRDefault="00D27BFA" w:rsidP="003A1A0F">
            <w:pPr>
              <w:keepLines/>
              <w:widowControl w:val="0"/>
              <w:jc w:val="center"/>
              <w:rPr>
                <w:rFonts w:cstheme="minorHAnsi"/>
                <w:sz w:val="20"/>
                <w:szCs w:val="20"/>
              </w:rPr>
            </w:pPr>
            <w:r w:rsidRPr="00302478">
              <w:rPr>
                <w:rFonts w:cstheme="minorHAnsi"/>
                <w:sz w:val="20"/>
                <w:szCs w:val="20"/>
              </w:rPr>
              <w:t>4.1</w:t>
            </w:r>
          </w:p>
        </w:tc>
        <w:tc>
          <w:tcPr>
            <w:tcW w:w="8370" w:type="dxa"/>
          </w:tcPr>
          <w:p w14:paraId="121C8313" w14:textId="77777777" w:rsidR="00D27BFA" w:rsidRPr="00FF619A" w:rsidRDefault="00D27BFA" w:rsidP="003A1A0F">
            <w:pPr>
              <w:keepLines/>
              <w:widowControl w:val="0"/>
              <w:rPr>
                <w:rFonts w:cstheme="minorHAnsi"/>
                <w:b/>
                <w:color w:val="156082" w:themeColor="accent1"/>
                <w:sz w:val="20"/>
                <w:szCs w:val="20"/>
                <w:lang w:eastAsia="zh-CN"/>
              </w:rPr>
            </w:pPr>
            <w:r w:rsidRPr="00FF619A">
              <w:rPr>
                <w:rFonts w:cstheme="minorHAnsi"/>
                <w:b/>
                <w:color w:val="156082" w:themeColor="accent1"/>
                <w:sz w:val="20"/>
                <w:szCs w:val="20"/>
                <w:lang w:eastAsia="zh-CN"/>
              </w:rPr>
              <w:t>交通和道路安全</w:t>
            </w:r>
          </w:p>
          <w:p w14:paraId="4063D4C1" w14:textId="77777777" w:rsidR="00D27BFA" w:rsidRPr="00302478" w:rsidRDefault="00D27BFA" w:rsidP="003A1A0F">
            <w:pPr>
              <w:keepLines/>
              <w:widowControl w:val="0"/>
              <w:rPr>
                <w:b/>
                <w:bCs/>
                <w:color w:val="A02B93" w:themeColor="accent5"/>
                <w:sz w:val="20"/>
                <w:szCs w:val="20"/>
                <w:lang w:eastAsia="zh-CN"/>
              </w:rPr>
            </w:pPr>
            <w:r w:rsidRPr="00801F17">
              <w:rPr>
                <w:rFonts w:hint="eastAsia"/>
                <w:sz w:val="20"/>
                <w:szCs w:val="20"/>
                <w:lang w:eastAsia="zh-CN"/>
              </w:rPr>
              <w:t>确保可能存在与交通和道路安全相关的潜在下游风险和影响的技术援助活动的工作大纲和成果中，包含对这些风险和影响的评估以及符合环境和社会标准</w:t>
            </w:r>
            <w:r w:rsidRPr="00801F17">
              <w:rPr>
                <w:sz w:val="20"/>
                <w:szCs w:val="20"/>
                <w:lang w:eastAsia="zh-CN"/>
              </w:rPr>
              <w:t>4</w:t>
            </w:r>
            <w:r w:rsidRPr="00801F17">
              <w:rPr>
                <w:rFonts w:hint="eastAsia"/>
                <w:sz w:val="20"/>
                <w:szCs w:val="20"/>
                <w:lang w:eastAsia="zh-CN"/>
              </w:rPr>
              <w:t>的建议缓解措施。工作大纲和成果报告应提交世界银行审查并获得无异议</w:t>
            </w:r>
            <w:r>
              <w:rPr>
                <w:rFonts w:hint="eastAsia"/>
                <w:sz w:val="20"/>
                <w:szCs w:val="20"/>
                <w:lang w:eastAsia="zh-CN"/>
              </w:rPr>
              <w:t>意见</w:t>
            </w:r>
            <w:r w:rsidRPr="00801F17">
              <w:rPr>
                <w:rFonts w:hint="eastAsia"/>
                <w:sz w:val="20"/>
                <w:szCs w:val="20"/>
                <w:lang w:eastAsia="zh-CN"/>
              </w:rPr>
              <w:t>。</w:t>
            </w:r>
          </w:p>
        </w:tc>
        <w:tc>
          <w:tcPr>
            <w:tcW w:w="3150" w:type="dxa"/>
          </w:tcPr>
          <w:p w14:paraId="50E5D770" w14:textId="77777777" w:rsidR="00D27BFA" w:rsidRPr="00302478" w:rsidRDefault="00D27BFA" w:rsidP="003A1A0F">
            <w:pPr>
              <w:keepLines/>
              <w:widowControl w:val="0"/>
              <w:rPr>
                <w:rFonts w:cstheme="minorHAnsi"/>
                <w:sz w:val="20"/>
                <w:szCs w:val="20"/>
                <w:lang w:eastAsia="zh-CN"/>
              </w:rPr>
            </w:pPr>
            <w:r w:rsidRPr="00534C0C">
              <w:rPr>
                <w:rFonts w:cstheme="minorHAnsi"/>
                <w:sz w:val="20"/>
                <w:szCs w:val="20"/>
                <w:lang w:eastAsia="zh-CN"/>
              </w:rPr>
              <w:t>在相关技术援助活动开始招标程序之前，并在整个活动实施期间。</w:t>
            </w:r>
          </w:p>
        </w:tc>
        <w:tc>
          <w:tcPr>
            <w:tcW w:w="2160" w:type="dxa"/>
          </w:tcPr>
          <w:p w14:paraId="1C86D009" w14:textId="77777777" w:rsidR="00D27BFA" w:rsidRPr="00302478" w:rsidRDefault="00D27BFA" w:rsidP="003A1A0F">
            <w:pPr>
              <w:keepLines/>
              <w:widowControl w:val="0"/>
              <w:rPr>
                <w:rFonts w:cstheme="minorHAnsi"/>
                <w:sz w:val="20"/>
                <w:szCs w:val="20"/>
                <w:lang w:eastAsia="zh-CN"/>
              </w:rPr>
            </w:pPr>
            <w:r>
              <w:rPr>
                <w:rFonts w:cstheme="minorHAnsi" w:hint="eastAsia"/>
                <w:sz w:val="20"/>
                <w:szCs w:val="20"/>
                <w:lang w:eastAsia="zh-CN"/>
              </w:rPr>
              <w:t xml:space="preserve">FECO </w:t>
            </w:r>
            <w:r w:rsidRPr="00492DF7">
              <w:rPr>
                <w:rFonts w:cstheme="minorHAnsi"/>
                <w:sz w:val="20"/>
                <w:szCs w:val="20"/>
                <w:lang w:eastAsia="zh-CN"/>
              </w:rPr>
              <w:t xml:space="preserve">PMO </w:t>
            </w:r>
          </w:p>
        </w:tc>
      </w:tr>
      <w:tr w:rsidR="00D27BFA" w:rsidRPr="00302478" w14:paraId="4D429664" w14:textId="77777777" w:rsidTr="003A1A0F">
        <w:trPr>
          <w:trHeight w:val="20"/>
        </w:trPr>
        <w:tc>
          <w:tcPr>
            <w:tcW w:w="625" w:type="dxa"/>
          </w:tcPr>
          <w:p w14:paraId="263531DE" w14:textId="77777777" w:rsidR="00D27BFA" w:rsidRPr="00302478" w:rsidRDefault="00D27BFA" w:rsidP="003A1A0F">
            <w:pPr>
              <w:keepLines/>
              <w:widowControl w:val="0"/>
              <w:jc w:val="center"/>
              <w:rPr>
                <w:rFonts w:cstheme="minorHAnsi"/>
                <w:sz w:val="20"/>
                <w:szCs w:val="20"/>
              </w:rPr>
            </w:pPr>
            <w:r w:rsidRPr="00302478">
              <w:rPr>
                <w:rFonts w:cstheme="minorHAnsi"/>
                <w:sz w:val="20"/>
                <w:szCs w:val="20"/>
              </w:rPr>
              <w:t>4.2</w:t>
            </w:r>
          </w:p>
        </w:tc>
        <w:tc>
          <w:tcPr>
            <w:tcW w:w="8370" w:type="dxa"/>
          </w:tcPr>
          <w:p w14:paraId="61C6C952" w14:textId="77777777" w:rsidR="00D27BFA" w:rsidRPr="00813212" w:rsidRDefault="00D27BFA" w:rsidP="003A1A0F">
            <w:pPr>
              <w:keepLines/>
              <w:widowControl w:val="0"/>
              <w:rPr>
                <w:rFonts w:cstheme="minorHAnsi"/>
                <w:b/>
                <w:color w:val="156082" w:themeColor="accent1"/>
                <w:sz w:val="20"/>
                <w:szCs w:val="20"/>
                <w:lang w:eastAsia="zh-CN"/>
              </w:rPr>
            </w:pPr>
            <w:r w:rsidRPr="00813212">
              <w:rPr>
                <w:rFonts w:cstheme="minorHAnsi"/>
                <w:b/>
                <w:color w:val="156082" w:themeColor="accent1"/>
                <w:sz w:val="20"/>
                <w:szCs w:val="20"/>
                <w:lang w:eastAsia="zh-CN"/>
              </w:rPr>
              <w:t>社区健康与安全</w:t>
            </w:r>
          </w:p>
          <w:p w14:paraId="2CB51CE1" w14:textId="77777777" w:rsidR="00D27BFA" w:rsidRPr="00F71B65" w:rsidRDefault="00D27BFA" w:rsidP="003A1A0F">
            <w:pPr>
              <w:keepLines/>
              <w:widowControl w:val="0"/>
              <w:rPr>
                <w:rFonts w:cstheme="minorHAnsi"/>
                <w:b/>
                <w:color w:val="A02B93" w:themeColor="accent5"/>
                <w:sz w:val="20"/>
                <w:szCs w:val="20"/>
                <w:lang w:eastAsia="zh-CN"/>
              </w:rPr>
            </w:pPr>
            <w:r w:rsidRPr="00801F17">
              <w:rPr>
                <w:rFonts w:hint="eastAsia"/>
                <w:sz w:val="20"/>
                <w:szCs w:val="20"/>
                <w:lang w:eastAsia="zh-CN"/>
              </w:rPr>
              <w:t>确保可能存在与社区健康和安全相关的潜在下游风险和影响的技术援助活动的工作大纲和成果中，包含对这些风险和影响的评估以及符合环境和社会标准</w:t>
            </w:r>
            <w:r w:rsidRPr="00801F17">
              <w:rPr>
                <w:sz w:val="20"/>
                <w:szCs w:val="20"/>
                <w:lang w:eastAsia="zh-CN"/>
              </w:rPr>
              <w:t>4</w:t>
            </w:r>
            <w:r w:rsidRPr="00801F17">
              <w:rPr>
                <w:rFonts w:hint="eastAsia"/>
                <w:sz w:val="20"/>
                <w:szCs w:val="20"/>
                <w:lang w:eastAsia="zh-CN"/>
              </w:rPr>
              <w:t>的建议缓解措施。工作大纲和成果报告应提交世界银行审查并获得无异议。</w:t>
            </w:r>
          </w:p>
        </w:tc>
        <w:tc>
          <w:tcPr>
            <w:tcW w:w="3150" w:type="dxa"/>
          </w:tcPr>
          <w:p w14:paraId="3B21A095" w14:textId="77777777" w:rsidR="00D27BFA" w:rsidRPr="00302478" w:rsidRDefault="00D27BFA" w:rsidP="003A1A0F">
            <w:pPr>
              <w:keepLines/>
              <w:widowControl w:val="0"/>
              <w:rPr>
                <w:rFonts w:cstheme="minorHAnsi"/>
                <w:sz w:val="20"/>
                <w:szCs w:val="20"/>
                <w:lang w:eastAsia="zh-CN"/>
              </w:rPr>
            </w:pPr>
            <w:r w:rsidRPr="00534C0C">
              <w:rPr>
                <w:rFonts w:cstheme="minorHAnsi"/>
                <w:sz w:val="20"/>
                <w:szCs w:val="20"/>
                <w:lang w:eastAsia="zh-CN"/>
              </w:rPr>
              <w:t>在相关技术援助活动开始招标程序之前，并在整个活动实施期间。</w:t>
            </w:r>
          </w:p>
        </w:tc>
        <w:tc>
          <w:tcPr>
            <w:tcW w:w="2160" w:type="dxa"/>
          </w:tcPr>
          <w:p w14:paraId="141A3A7D" w14:textId="77777777" w:rsidR="00D27BFA" w:rsidRPr="00302478" w:rsidRDefault="00D27BFA" w:rsidP="003A1A0F">
            <w:pPr>
              <w:keepLines/>
              <w:widowControl w:val="0"/>
              <w:rPr>
                <w:rFonts w:cstheme="minorHAnsi"/>
                <w:sz w:val="20"/>
                <w:szCs w:val="20"/>
                <w:lang w:eastAsia="zh-CN"/>
              </w:rPr>
            </w:pPr>
            <w:r>
              <w:rPr>
                <w:rFonts w:cstheme="minorHAnsi" w:hint="eastAsia"/>
                <w:sz w:val="20"/>
                <w:szCs w:val="20"/>
                <w:lang w:eastAsia="zh-CN"/>
              </w:rPr>
              <w:t xml:space="preserve">FECO </w:t>
            </w:r>
            <w:r w:rsidRPr="00492DF7">
              <w:rPr>
                <w:rFonts w:cstheme="minorHAnsi"/>
                <w:sz w:val="20"/>
                <w:szCs w:val="20"/>
                <w:lang w:eastAsia="zh-CN"/>
              </w:rPr>
              <w:t xml:space="preserve">PMO </w:t>
            </w:r>
          </w:p>
        </w:tc>
      </w:tr>
      <w:tr w:rsidR="00D27BFA" w:rsidRPr="00302478" w14:paraId="293DA9F6" w14:textId="77777777" w:rsidTr="003A1A0F">
        <w:trPr>
          <w:trHeight w:val="20"/>
        </w:trPr>
        <w:tc>
          <w:tcPr>
            <w:tcW w:w="625" w:type="dxa"/>
          </w:tcPr>
          <w:p w14:paraId="0E905106" w14:textId="77777777" w:rsidR="00D27BFA" w:rsidRPr="00302478" w:rsidRDefault="00D27BFA" w:rsidP="003A1A0F">
            <w:pPr>
              <w:keepLines/>
              <w:widowControl w:val="0"/>
              <w:jc w:val="center"/>
              <w:rPr>
                <w:rFonts w:cstheme="minorHAnsi"/>
                <w:sz w:val="20"/>
                <w:szCs w:val="20"/>
              </w:rPr>
            </w:pPr>
            <w:r w:rsidRPr="00302478">
              <w:rPr>
                <w:rFonts w:cstheme="minorHAnsi"/>
                <w:sz w:val="20"/>
                <w:szCs w:val="20"/>
              </w:rPr>
              <w:t>4.3</w:t>
            </w:r>
          </w:p>
        </w:tc>
        <w:tc>
          <w:tcPr>
            <w:tcW w:w="8370" w:type="dxa"/>
          </w:tcPr>
          <w:p w14:paraId="51810CB9" w14:textId="77777777" w:rsidR="00D27BFA" w:rsidRPr="002F50F1" w:rsidRDefault="00D27BFA" w:rsidP="003A1A0F">
            <w:pPr>
              <w:keepLines/>
              <w:widowControl w:val="0"/>
              <w:rPr>
                <w:rFonts w:cstheme="minorHAnsi"/>
                <w:b/>
                <w:color w:val="156082" w:themeColor="accent1"/>
                <w:sz w:val="20"/>
                <w:szCs w:val="20"/>
                <w:lang w:eastAsia="zh-CN"/>
              </w:rPr>
            </w:pPr>
            <w:r w:rsidRPr="002F50F1">
              <w:rPr>
                <w:rFonts w:cstheme="minorHAnsi" w:hint="eastAsia"/>
                <w:b/>
                <w:color w:val="156082" w:themeColor="accent1"/>
                <w:sz w:val="20"/>
                <w:szCs w:val="20"/>
                <w:lang w:eastAsia="zh-CN"/>
              </w:rPr>
              <w:t>性剥削和性骚扰风险</w:t>
            </w:r>
            <w:r w:rsidRPr="002F50F1">
              <w:rPr>
                <w:rFonts w:cstheme="minorHAnsi"/>
                <w:b/>
                <w:color w:val="156082" w:themeColor="accent1"/>
                <w:sz w:val="20"/>
                <w:szCs w:val="20"/>
                <w:lang w:eastAsia="zh-CN"/>
              </w:rPr>
              <w:t xml:space="preserve"> </w:t>
            </w:r>
          </w:p>
          <w:p w14:paraId="39AC4FED" w14:textId="60BDB826" w:rsidR="00D27BFA" w:rsidRPr="00CB1EE8" w:rsidRDefault="00D27BFA" w:rsidP="003A1A0F">
            <w:pPr>
              <w:keepLines/>
              <w:widowControl w:val="0"/>
              <w:rPr>
                <w:rFonts w:cstheme="minorHAnsi"/>
                <w:sz w:val="20"/>
                <w:szCs w:val="20"/>
                <w:lang w:eastAsia="zh-CN"/>
              </w:rPr>
            </w:pPr>
            <w:r w:rsidRPr="00FF619A">
              <w:rPr>
                <w:rFonts w:cstheme="minorHAnsi"/>
                <w:sz w:val="20"/>
                <w:szCs w:val="20"/>
                <w:lang w:eastAsia="zh-CN"/>
              </w:rPr>
              <w:t>在项目实施期间，作为环境和社会管理框架（ESMF）的一部分，制定和实施性剥削和性骚扰管理措施，以评估和预防符合环境和社会标准4（ESS4）要求的性剥削和性骚扰风险。</w:t>
            </w:r>
          </w:p>
        </w:tc>
        <w:tc>
          <w:tcPr>
            <w:tcW w:w="3150" w:type="dxa"/>
          </w:tcPr>
          <w:p w14:paraId="2282FD4F" w14:textId="77777777" w:rsidR="00D27BFA" w:rsidRPr="00302478" w:rsidRDefault="00D27BFA" w:rsidP="003A1A0F">
            <w:pPr>
              <w:keepLines/>
              <w:widowControl w:val="0"/>
              <w:rPr>
                <w:rFonts w:cstheme="minorHAnsi"/>
                <w:sz w:val="20"/>
                <w:szCs w:val="20"/>
                <w:lang w:eastAsia="zh-CN"/>
              </w:rPr>
            </w:pPr>
            <w:r w:rsidRPr="00534C0C">
              <w:rPr>
                <w:rFonts w:cstheme="minorHAnsi"/>
                <w:sz w:val="20"/>
                <w:szCs w:val="20"/>
                <w:lang w:eastAsia="zh-CN"/>
              </w:rPr>
              <w:t>在相关技术援助活动开始招标程序之前，并在整个活动实施期间。</w:t>
            </w:r>
          </w:p>
        </w:tc>
        <w:tc>
          <w:tcPr>
            <w:tcW w:w="2160" w:type="dxa"/>
          </w:tcPr>
          <w:p w14:paraId="163C7ABF" w14:textId="77777777" w:rsidR="00D27BFA" w:rsidRPr="00302478" w:rsidRDefault="00D27BFA" w:rsidP="003A1A0F">
            <w:pPr>
              <w:keepLines/>
              <w:widowControl w:val="0"/>
              <w:rPr>
                <w:rFonts w:cstheme="minorHAnsi"/>
                <w:sz w:val="20"/>
                <w:szCs w:val="20"/>
              </w:rPr>
            </w:pPr>
            <w:r>
              <w:rPr>
                <w:rFonts w:cstheme="minorHAnsi" w:hint="eastAsia"/>
                <w:sz w:val="20"/>
                <w:szCs w:val="20"/>
                <w:lang w:eastAsia="zh-CN"/>
              </w:rPr>
              <w:t xml:space="preserve">FECO </w:t>
            </w:r>
            <w:r w:rsidRPr="00492DF7">
              <w:rPr>
                <w:rFonts w:cstheme="minorHAnsi"/>
                <w:sz w:val="20"/>
                <w:szCs w:val="20"/>
                <w:lang w:eastAsia="zh-CN"/>
              </w:rPr>
              <w:t xml:space="preserve">PMO </w:t>
            </w:r>
          </w:p>
        </w:tc>
      </w:tr>
      <w:tr w:rsidR="00D27BFA" w:rsidRPr="00302478" w14:paraId="568947F5" w14:textId="77777777" w:rsidTr="003A1A0F">
        <w:trPr>
          <w:trHeight w:val="20"/>
        </w:trPr>
        <w:tc>
          <w:tcPr>
            <w:tcW w:w="14305" w:type="dxa"/>
            <w:gridSpan w:val="4"/>
            <w:shd w:val="clear" w:color="auto" w:fill="F1A983" w:themeFill="accent2" w:themeFillTint="99"/>
          </w:tcPr>
          <w:p w14:paraId="3DADFB2A" w14:textId="77777777" w:rsidR="00D27BFA" w:rsidRPr="007E080E" w:rsidRDefault="00D27BFA" w:rsidP="003A1A0F">
            <w:pPr>
              <w:keepLines/>
              <w:widowControl w:val="0"/>
              <w:rPr>
                <w:rFonts w:cstheme="minorHAnsi"/>
                <w:b/>
                <w:sz w:val="20"/>
                <w:szCs w:val="20"/>
                <w:lang w:eastAsia="zh-CN"/>
              </w:rPr>
            </w:pPr>
            <w:r>
              <w:rPr>
                <w:rFonts w:cstheme="minorHAnsi" w:hint="eastAsia"/>
                <w:b/>
                <w:sz w:val="20"/>
                <w:szCs w:val="20"/>
                <w:lang w:eastAsia="zh-CN"/>
              </w:rPr>
              <w:t>环境和社会标准5：</w:t>
            </w:r>
            <w:r w:rsidRPr="007E080E">
              <w:rPr>
                <w:rFonts w:cstheme="minorHAnsi"/>
                <w:b/>
                <w:sz w:val="20"/>
                <w:szCs w:val="20"/>
                <w:lang w:eastAsia="zh-CN"/>
              </w:rPr>
              <w:t>土地征收、土地使用限制和非自愿移民</w:t>
            </w:r>
          </w:p>
        </w:tc>
      </w:tr>
      <w:tr w:rsidR="00D27BFA" w:rsidRPr="00302478" w14:paraId="03EE77E5" w14:textId="77777777" w:rsidTr="003A1A0F">
        <w:trPr>
          <w:trHeight w:val="1705"/>
        </w:trPr>
        <w:tc>
          <w:tcPr>
            <w:tcW w:w="625" w:type="dxa"/>
          </w:tcPr>
          <w:p w14:paraId="6B9A69B4" w14:textId="77777777" w:rsidR="00D27BFA" w:rsidRPr="00302478" w:rsidRDefault="00D27BFA" w:rsidP="003A1A0F">
            <w:pPr>
              <w:keepLines/>
              <w:widowControl w:val="0"/>
              <w:jc w:val="center"/>
              <w:rPr>
                <w:rFonts w:cstheme="minorHAnsi"/>
                <w:sz w:val="20"/>
                <w:szCs w:val="20"/>
              </w:rPr>
            </w:pPr>
            <w:r w:rsidRPr="00302478">
              <w:rPr>
                <w:rFonts w:cstheme="minorHAnsi"/>
                <w:sz w:val="20"/>
                <w:szCs w:val="20"/>
              </w:rPr>
              <w:lastRenderedPageBreak/>
              <w:t>5.1</w:t>
            </w:r>
          </w:p>
          <w:p w14:paraId="1DD60738" w14:textId="77777777" w:rsidR="00D27BFA" w:rsidRPr="00302478" w:rsidRDefault="00D27BFA" w:rsidP="003A1A0F">
            <w:pPr>
              <w:keepLines/>
              <w:widowControl w:val="0"/>
              <w:jc w:val="center"/>
              <w:rPr>
                <w:rFonts w:cstheme="minorHAnsi"/>
                <w:sz w:val="20"/>
                <w:szCs w:val="20"/>
              </w:rPr>
            </w:pPr>
          </w:p>
        </w:tc>
        <w:tc>
          <w:tcPr>
            <w:tcW w:w="8370" w:type="dxa"/>
          </w:tcPr>
          <w:p w14:paraId="36DFA751" w14:textId="77777777" w:rsidR="00D27BFA" w:rsidRPr="002F50F1" w:rsidRDefault="00D27BFA" w:rsidP="003A1A0F">
            <w:pPr>
              <w:keepLines/>
              <w:widowControl w:val="0"/>
              <w:rPr>
                <w:rFonts w:cstheme="minorHAnsi"/>
                <w:b/>
                <w:color w:val="156082" w:themeColor="accent1"/>
                <w:sz w:val="20"/>
                <w:szCs w:val="20"/>
                <w:lang w:eastAsia="zh-CN"/>
              </w:rPr>
            </w:pPr>
            <w:r w:rsidRPr="002F50F1">
              <w:rPr>
                <w:rFonts w:cstheme="minorHAnsi"/>
                <w:b/>
                <w:color w:val="156082" w:themeColor="accent1"/>
                <w:sz w:val="20"/>
                <w:szCs w:val="20"/>
                <w:lang w:eastAsia="zh-CN"/>
              </w:rPr>
              <w:t>移民安置框架</w:t>
            </w:r>
          </w:p>
          <w:p w14:paraId="73CF3F32" w14:textId="77777777" w:rsidR="00D27BFA" w:rsidRPr="00302478" w:rsidRDefault="00D27BFA" w:rsidP="003A1A0F">
            <w:pPr>
              <w:keepLines/>
              <w:widowControl w:val="0"/>
              <w:jc w:val="both"/>
              <w:rPr>
                <w:rFonts w:cstheme="minorHAnsi"/>
                <w:b/>
                <w:color w:val="156082" w:themeColor="accent1"/>
                <w:sz w:val="20"/>
                <w:szCs w:val="20"/>
                <w:lang w:eastAsia="zh-CN"/>
              </w:rPr>
            </w:pPr>
            <w:r w:rsidRPr="00801F17">
              <w:rPr>
                <w:rFonts w:cstheme="minorHAnsi" w:hint="eastAsia"/>
                <w:sz w:val="20"/>
                <w:szCs w:val="20"/>
                <w:lang w:eastAsia="zh-CN"/>
              </w:rPr>
              <w:t>确保可能存在潜在下游土地征收和移民安置（</w:t>
            </w:r>
            <w:r w:rsidRPr="00801F17">
              <w:rPr>
                <w:rFonts w:cstheme="minorHAnsi"/>
                <w:sz w:val="20"/>
                <w:szCs w:val="20"/>
                <w:lang w:eastAsia="zh-CN"/>
              </w:rPr>
              <w:t>LAR</w:t>
            </w:r>
            <w:r w:rsidRPr="00801F17">
              <w:rPr>
                <w:rFonts w:cstheme="minorHAnsi" w:hint="eastAsia"/>
                <w:sz w:val="20"/>
                <w:szCs w:val="20"/>
                <w:lang w:eastAsia="zh-CN"/>
              </w:rPr>
              <w:t>）风险和影响的技术援助活动的工作大纲和成果报告中，包含对这些风险和影响的评估，以及符合环境和社会标准</w:t>
            </w:r>
            <w:r w:rsidRPr="00801F17">
              <w:rPr>
                <w:rFonts w:cstheme="minorHAnsi"/>
                <w:sz w:val="20"/>
                <w:szCs w:val="20"/>
                <w:lang w:eastAsia="zh-CN"/>
              </w:rPr>
              <w:t>5</w:t>
            </w:r>
            <w:r w:rsidRPr="00801F17">
              <w:rPr>
                <w:rFonts w:cstheme="minorHAnsi" w:hint="eastAsia"/>
                <w:sz w:val="20"/>
                <w:szCs w:val="20"/>
                <w:lang w:eastAsia="zh-CN"/>
              </w:rPr>
              <w:t>的建议缓解措施。工作大纲和成果报告应提交世界银行审查并获得无异议</w:t>
            </w:r>
            <w:r>
              <w:rPr>
                <w:rFonts w:cstheme="minorHAnsi" w:hint="eastAsia"/>
                <w:sz w:val="20"/>
                <w:szCs w:val="20"/>
                <w:lang w:eastAsia="zh-CN"/>
              </w:rPr>
              <w:t>意见</w:t>
            </w:r>
            <w:r w:rsidRPr="007E080E">
              <w:rPr>
                <w:rFonts w:ascii="Microsoft YaHei" w:eastAsia="Microsoft YaHei" w:hAnsi="Microsoft YaHei" w:cs="Microsoft YaHei" w:hint="eastAsia"/>
                <w:color w:val="000000" w:themeColor="text1"/>
                <w:sz w:val="20"/>
                <w:szCs w:val="20"/>
                <w:lang w:eastAsia="zh-CN"/>
              </w:rPr>
              <w:t>。</w:t>
            </w:r>
          </w:p>
        </w:tc>
        <w:tc>
          <w:tcPr>
            <w:tcW w:w="3150" w:type="dxa"/>
          </w:tcPr>
          <w:p w14:paraId="70B845DD" w14:textId="77777777" w:rsidR="00D27BFA" w:rsidRPr="003D1AF9" w:rsidRDefault="00D27BFA" w:rsidP="003A1A0F">
            <w:pPr>
              <w:keepLines/>
              <w:widowControl w:val="0"/>
              <w:rPr>
                <w:rFonts w:cstheme="minorHAnsi"/>
                <w:sz w:val="20"/>
                <w:szCs w:val="20"/>
                <w:lang w:eastAsia="zh-CN"/>
              </w:rPr>
            </w:pPr>
            <w:r w:rsidRPr="00534C0C">
              <w:rPr>
                <w:rFonts w:cstheme="minorHAnsi"/>
                <w:sz w:val="20"/>
                <w:szCs w:val="20"/>
                <w:lang w:eastAsia="zh-CN"/>
              </w:rPr>
              <w:t>在相关技术援助活动开始招标程序之前，并在整个活动实施期间。</w:t>
            </w:r>
          </w:p>
        </w:tc>
        <w:tc>
          <w:tcPr>
            <w:tcW w:w="2160" w:type="dxa"/>
          </w:tcPr>
          <w:p w14:paraId="685D3448" w14:textId="77777777" w:rsidR="00D27BFA" w:rsidRPr="00302478" w:rsidRDefault="00D27BFA" w:rsidP="003A1A0F">
            <w:pPr>
              <w:keepLines/>
              <w:widowControl w:val="0"/>
              <w:rPr>
                <w:rFonts w:cstheme="minorHAnsi"/>
                <w:sz w:val="20"/>
                <w:szCs w:val="20"/>
              </w:rPr>
            </w:pPr>
            <w:r>
              <w:rPr>
                <w:rFonts w:cstheme="minorHAnsi" w:hint="eastAsia"/>
                <w:sz w:val="20"/>
                <w:szCs w:val="20"/>
                <w:lang w:eastAsia="zh-CN"/>
              </w:rPr>
              <w:t xml:space="preserve">FECO </w:t>
            </w:r>
            <w:r w:rsidRPr="00492DF7">
              <w:rPr>
                <w:rFonts w:cstheme="minorHAnsi"/>
                <w:sz w:val="20"/>
                <w:szCs w:val="20"/>
                <w:lang w:eastAsia="zh-CN"/>
              </w:rPr>
              <w:t xml:space="preserve">PMO </w:t>
            </w:r>
          </w:p>
          <w:p w14:paraId="5AAB97E1" w14:textId="77777777" w:rsidR="00D27BFA" w:rsidRPr="00302478" w:rsidRDefault="00D27BFA" w:rsidP="003A1A0F">
            <w:pPr>
              <w:keepLines/>
              <w:widowControl w:val="0"/>
              <w:rPr>
                <w:rFonts w:cstheme="minorHAnsi"/>
                <w:sz w:val="20"/>
                <w:szCs w:val="20"/>
              </w:rPr>
            </w:pPr>
          </w:p>
        </w:tc>
      </w:tr>
      <w:tr w:rsidR="00D27BFA" w:rsidRPr="00302478" w14:paraId="64258691" w14:textId="77777777" w:rsidTr="003A1A0F">
        <w:trPr>
          <w:trHeight w:val="20"/>
        </w:trPr>
        <w:tc>
          <w:tcPr>
            <w:tcW w:w="14305" w:type="dxa"/>
            <w:gridSpan w:val="4"/>
            <w:shd w:val="clear" w:color="auto" w:fill="F1A983" w:themeFill="accent2" w:themeFillTint="99"/>
          </w:tcPr>
          <w:p w14:paraId="6E7A47E8" w14:textId="77777777" w:rsidR="00D27BFA" w:rsidRPr="00302478" w:rsidRDefault="00D27BFA" w:rsidP="003A1A0F">
            <w:pPr>
              <w:keepLines/>
              <w:widowControl w:val="0"/>
              <w:rPr>
                <w:rFonts w:cstheme="minorHAnsi"/>
                <w:sz w:val="20"/>
                <w:szCs w:val="20"/>
                <w:lang w:eastAsia="zh-CN"/>
              </w:rPr>
            </w:pPr>
            <w:r>
              <w:rPr>
                <w:rFonts w:cstheme="minorHAnsi" w:hint="eastAsia"/>
                <w:b/>
                <w:sz w:val="20"/>
                <w:szCs w:val="20"/>
                <w:lang w:eastAsia="zh-CN"/>
              </w:rPr>
              <w:t>环境和社会标准</w:t>
            </w:r>
            <w:r w:rsidRPr="00302478">
              <w:rPr>
                <w:rFonts w:cstheme="minorHAnsi"/>
                <w:b/>
                <w:sz w:val="20"/>
                <w:szCs w:val="20"/>
                <w:lang w:eastAsia="zh-CN"/>
              </w:rPr>
              <w:t xml:space="preserve"> 6:  </w:t>
            </w:r>
            <w:r w:rsidRPr="00DE7C36">
              <w:rPr>
                <w:rFonts w:cstheme="minorHAnsi"/>
                <w:b/>
                <w:bCs/>
                <w:sz w:val="20"/>
                <w:szCs w:val="20"/>
                <w:lang w:eastAsia="zh-CN"/>
              </w:rPr>
              <w:t>生物多样性保护和生物自然资源的可持续管理</w:t>
            </w:r>
          </w:p>
        </w:tc>
      </w:tr>
      <w:tr w:rsidR="00D27BFA" w:rsidRPr="00302478" w14:paraId="5A85F059" w14:textId="77777777" w:rsidTr="003A1A0F">
        <w:trPr>
          <w:trHeight w:val="20"/>
        </w:trPr>
        <w:tc>
          <w:tcPr>
            <w:tcW w:w="625" w:type="dxa"/>
          </w:tcPr>
          <w:p w14:paraId="0EA8491D" w14:textId="77777777" w:rsidR="00D27BFA" w:rsidRPr="00302478" w:rsidRDefault="00D27BFA" w:rsidP="003A1A0F">
            <w:pPr>
              <w:keepLines/>
              <w:widowControl w:val="0"/>
              <w:jc w:val="center"/>
              <w:rPr>
                <w:rFonts w:cstheme="minorHAnsi"/>
                <w:sz w:val="20"/>
                <w:szCs w:val="20"/>
              </w:rPr>
            </w:pPr>
            <w:r w:rsidRPr="00302478">
              <w:rPr>
                <w:rFonts w:cstheme="minorHAnsi"/>
                <w:sz w:val="20"/>
                <w:szCs w:val="20"/>
              </w:rPr>
              <w:t>6.1</w:t>
            </w:r>
          </w:p>
        </w:tc>
        <w:tc>
          <w:tcPr>
            <w:tcW w:w="8370" w:type="dxa"/>
          </w:tcPr>
          <w:p w14:paraId="2DBCA0E5" w14:textId="2B6769C0" w:rsidR="00D27BFA" w:rsidRPr="002F50F1" w:rsidRDefault="00D27BFA" w:rsidP="002F50F1">
            <w:pPr>
              <w:keepLines/>
              <w:widowControl w:val="0"/>
              <w:rPr>
                <w:rFonts w:cstheme="minorHAnsi"/>
                <w:b/>
                <w:color w:val="156082" w:themeColor="accent1"/>
                <w:sz w:val="20"/>
                <w:szCs w:val="20"/>
                <w:lang w:eastAsia="zh-CN"/>
              </w:rPr>
            </w:pPr>
            <w:r w:rsidRPr="002F50F1">
              <w:rPr>
                <w:rFonts w:cstheme="minorHAnsi" w:hint="eastAsia"/>
                <w:b/>
                <w:color w:val="156082" w:themeColor="accent1"/>
                <w:sz w:val="20"/>
                <w:szCs w:val="20"/>
                <w:lang w:eastAsia="zh-CN"/>
              </w:rPr>
              <w:t>生物多样性风险和影响</w:t>
            </w:r>
          </w:p>
          <w:p w14:paraId="043FC0F0" w14:textId="657101A1" w:rsidR="00D27BFA" w:rsidRPr="000F50E3" w:rsidRDefault="00D27BFA" w:rsidP="003A1A0F">
            <w:pPr>
              <w:keepLines/>
              <w:widowControl w:val="0"/>
              <w:rPr>
                <w:sz w:val="20"/>
                <w:szCs w:val="20"/>
                <w:lang w:eastAsia="zh-CN"/>
              </w:rPr>
            </w:pPr>
            <w:r w:rsidRPr="000F50E3">
              <w:rPr>
                <w:sz w:val="20"/>
                <w:szCs w:val="20"/>
                <w:lang w:eastAsia="zh-CN"/>
              </w:rPr>
              <w:t>如</w:t>
            </w:r>
            <w:r>
              <w:rPr>
                <w:rFonts w:hint="eastAsia"/>
                <w:sz w:val="20"/>
                <w:szCs w:val="20"/>
                <w:lang w:eastAsia="zh-CN"/>
              </w:rPr>
              <w:t>适用，</w:t>
            </w:r>
            <w:r w:rsidRPr="000F50E3">
              <w:rPr>
                <w:sz w:val="20"/>
                <w:szCs w:val="20"/>
                <w:lang w:eastAsia="zh-CN"/>
              </w:rPr>
              <w:t>潜在的下游生物多样性影响分析以及措施建议体现在相关研究成果中。</w:t>
            </w:r>
          </w:p>
          <w:p w14:paraId="5E02D4BA" w14:textId="3B585A66" w:rsidR="00D27BFA" w:rsidRDefault="00D27BFA" w:rsidP="003A1A0F">
            <w:pPr>
              <w:keepLines/>
              <w:widowControl w:val="0"/>
              <w:rPr>
                <w:sz w:val="20"/>
                <w:szCs w:val="20"/>
                <w:lang w:eastAsia="zh-CN"/>
              </w:rPr>
            </w:pPr>
            <w:r w:rsidRPr="00A572B9">
              <w:rPr>
                <w:sz w:val="20"/>
                <w:szCs w:val="20"/>
                <w:lang w:eastAsia="zh-CN"/>
              </w:rPr>
              <w:t>本项目实施期内执行ES MF中制定的生态敏感区域（包括自然栖息地和重要的自然栖息地）排除清单，并确保其研究成果中技术建议所涉相关的下游活动如涉及实体工程及自然资源管理事项，必须确保不涉及上述排除清单中列明的生态敏感区域。</w:t>
            </w:r>
          </w:p>
          <w:p w14:paraId="2DA7CF78" w14:textId="77777777" w:rsidR="00D27BFA" w:rsidRPr="00302478" w:rsidRDefault="00D27BFA" w:rsidP="003A1A0F">
            <w:pPr>
              <w:keepLines/>
              <w:widowControl w:val="0"/>
              <w:rPr>
                <w:rFonts w:cstheme="minorHAnsi"/>
                <w:b/>
                <w:color w:val="A02B93" w:themeColor="accent5"/>
                <w:sz w:val="20"/>
                <w:szCs w:val="20"/>
                <w:lang w:eastAsia="zh-CN"/>
              </w:rPr>
            </w:pPr>
            <w:r w:rsidRPr="00801F17">
              <w:rPr>
                <w:rFonts w:hint="eastAsia"/>
                <w:sz w:val="20"/>
                <w:szCs w:val="20"/>
                <w:lang w:eastAsia="zh-CN"/>
              </w:rPr>
              <w:t>在准备工作大纲和成果报告时，应遵循环境和社会管理框架中制定的排除清单。</w:t>
            </w:r>
          </w:p>
        </w:tc>
        <w:tc>
          <w:tcPr>
            <w:tcW w:w="3150" w:type="dxa"/>
          </w:tcPr>
          <w:p w14:paraId="19CEF7A7" w14:textId="77777777" w:rsidR="00D27BFA" w:rsidRPr="00302478" w:rsidRDefault="00D27BFA" w:rsidP="003A1A0F">
            <w:pPr>
              <w:keepLines/>
              <w:widowControl w:val="0"/>
              <w:rPr>
                <w:rFonts w:cstheme="minorHAnsi"/>
                <w:sz w:val="20"/>
                <w:szCs w:val="20"/>
                <w:lang w:eastAsia="zh-CN"/>
              </w:rPr>
            </w:pPr>
            <w:r w:rsidRPr="00534C0C">
              <w:rPr>
                <w:rFonts w:cstheme="minorHAnsi"/>
                <w:sz w:val="20"/>
                <w:szCs w:val="20"/>
                <w:lang w:eastAsia="zh-CN"/>
              </w:rPr>
              <w:t>在相关技术援助活动开始招标程序之前，并在整个活动实施期间。</w:t>
            </w:r>
          </w:p>
        </w:tc>
        <w:tc>
          <w:tcPr>
            <w:tcW w:w="2160" w:type="dxa"/>
          </w:tcPr>
          <w:p w14:paraId="33FF78F7" w14:textId="77777777" w:rsidR="00D27BFA" w:rsidRPr="00302478" w:rsidRDefault="00D27BFA" w:rsidP="003A1A0F">
            <w:pPr>
              <w:keepLines/>
              <w:widowControl w:val="0"/>
              <w:rPr>
                <w:rFonts w:cstheme="minorHAnsi"/>
                <w:sz w:val="20"/>
                <w:szCs w:val="20"/>
              </w:rPr>
            </w:pPr>
            <w:r>
              <w:rPr>
                <w:rFonts w:cstheme="minorHAnsi" w:hint="eastAsia"/>
                <w:sz w:val="20"/>
                <w:szCs w:val="20"/>
                <w:lang w:eastAsia="zh-CN"/>
              </w:rPr>
              <w:t>FECO PMO</w:t>
            </w:r>
          </w:p>
          <w:p w14:paraId="6AD07784" w14:textId="77777777" w:rsidR="00D27BFA" w:rsidRPr="00302478" w:rsidRDefault="00D27BFA" w:rsidP="003A1A0F">
            <w:pPr>
              <w:keepLines/>
              <w:widowControl w:val="0"/>
              <w:rPr>
                <w:rFonts w:cstheme="minorHAnsi"/>
                <w:sz w:val="20"/>
                <w:szCs w:val="20"/>
                <w:lang w:eastAsia="zh-CN"/>
              </w:rPr>
            </w:pPr>
          </w:p>
        </w:tc>
      </w:tr>
      <w:tr w:rsidR="00D27BFA" w:rsidRPr="00302478" w14:paraId="5D2FBCB9" w14:textId="77777777" w:rsidTr="003A1A0F">
        <w:trPr>
          <w:trHeight w:val="20"/>
        </w:trPr>
        <w:tc>
          <w:tcPr>
            <w:tcW w:w="14305" w:type="dxa"/>
            <w:gridSpan w:val="4"/>
            <w:shd w:val="clear" w:color="auto" w:fill="F1A983" w:themeFill="accent2" w:themeFillTint="99"/>
          </w:tcPr>
          <w:p w14:paraId="5F6267AA" w14:textId="77777777" w:rsidR="00D27BFA" w:rsidRPr="00302478" w:rsidRDefault="00D27BFA" w:rsidP="003A1A0F">
            <w:pPr>
              <w:keepLines/>
              <w:widowControl w:val="0"/>
              <w:rPr>
                <w:rFonts w:cstheme="minorHAnsi"/>
                <w:sz w:val="20"/>
                <w:szCs w:val="20"/>
                <w:lang w:eastAsia="zh-CN"/>
              </w:rPr>
            </w:pPr>
            <w:r>
              <w:rPr>
                <w:rFonts w:cstheme="minorHAnsi" w:hint="eastAsia"/>
                <w:b/>
                <w:sz w:val="20"/>
                <w:szCs w:val="20"/>
                <w:lang w:eastAsia="zh-CN"/>
              </w:rPr>
              <w:t>环境和社会标准7:</w:t>
            </w:r>
            <w:r w:rsidRPr="00640B30">
              <w:rPr>
                <w:rFonts w:cstheme="minorHAnsi"/>
                <w:b/>
                <w:bCs/>
                <w:sz w:val="20"/>
                <w:szCs w:val="20"/>
                <w:lang w:eastAsia="zh-CN"/>
              </w:rPr>
              <w:t>原住民/撒哈拉以南非洲历史上服务不足的传统本地社区</w:t>
            </w:r>
          </w:p>
        </w:tc>
      </w:tr>
      <w:tr w:rsidR="00D27BFA" w:rsidRPr="00302478" w14:paraId="0B3E6B55" w14:textId="77777777" w:rsidTr="00CB1EE8">
        <w:trPr>
          <w:trHeight w:val="1191"/>
        </w:trPr>
        <w:tc>
          <w:tcPr>
            <w:tcW w:w="625" w:type="dxa"/>
          </w:tcPr>
          <w:p w14:paraId="0B67E87E" w14:textId="77777777" w:rsidR="00D27BFA" w:rsidRPr="00302478" w:rsidRDefault="00D27BFA" w:rsidP="003A1A0F">
            <w:pPr>
              <w:keepLines/>
              <w:widowControl w:val="0"/>
              <w:jc w:val="center"/>
              <w:rPr>
                <w:rFonts w:cstheme="minorHAnsi"/>
                <w:sz w:val="20"/>
                <w:szCs w:val="20"/>
              </w:rPr>
            </w:pPr>
            <w:r w:rsidRPr="00302478">
              <w:rPr>
                <w:rFonts w:cstheme="minorHAnsi"/>
                <w:sz w:val="20"/>
                <w:szCs w:val="20"/>
              </w:rPr>
              <w:t>7.1</w:t>
            </w:r>
          </w:p>
          <w:p w14:paraId="2C4ED0BD" w14:textId="77777777" w:rsidR="00D27BFA" w:rsidRPr="00302478" w:rsidRDefault="00D27BFA" w:rsidP="003A1A0F">
            <w:pPr>
              <w:keepLines/>
              <w:widowControl w:val="0"/>
              <w:jc w:val="center"/>
              <w:rPr>
                <w:rFonts w:cstheme="minorHAnsi"/>
                <w:sz w:val="20"/>
                <w:szCs w:val="20"/>
              </w:rPr>
            </w:pPr>
          </w:p>
        </w:tc>
        <w:tc>
          <w:tcPr>
            <w:tcW w:w="8370" w:type="dxa"/>
          </w:tcPr>
          <w:p w14:paraId="66AAA784" w14:textId="77777777" w:rsidR="00D27BFA" w:rsidRPr="002F50F1" w:rsidRDefault="00D27BFA" w:rsidP="003A1A0F">
            <w:pPr>
              <w:keepLines/>
              <w:widowControl w:val="0"/>
              <w:rPr>
                <w:rFonts w:cstheme="minorHAnsi"/>
                <w:b/>
                <w:color w:val="156082" w:themeColor="accent1"/>
                <w:sz w:val="20"/>
                <w:szCs w:val="20"/>
                <w:lang w:eastAsia="zh-CN"/>
              </w:rPr>
            </w:pPr>
            <w:r w:rsidRPr="002F50F1">
              <w:rPr>
                <w:rFonts w:cstheme="minorHAnsi" w:hint="eastAsia"/>
                <w:b/>
                <w:color w:val="156082" w:themeColor="accent1"/>
                <w:sz w:val="20"/>
                <w:szCs w:val="20"/>
                <w:lang w:eastAsia="zh-CN"/>
              </w:rPr>
              <w:t>原住民框架</w:t>
            </w:r>
          </w:p>
          <w:p w14:paraId="05893BFE" w14:textId="77777777" w:rsidR="00D27BFA" w:rsidRPr="00621957" w:rsidRDefault="00D27BFA" w:rsidP="003A1A0F">
            <w:pPr>
              <w:keepLines/>
              <w:widowControl w:val="0"/>
              <w:rPr>
                <w:sz w:val="20"/>
                <w:szCs w:val="20"/>
                <w:lang w:eastAsia="zh-CN"/>
              </w:rPr>
            </w:pPr>
            <w:r w:rsidRPr="00EE201F">
              <w:rPr>
                <w:sz w:val="20"/>
                <w:szCs w:val="20"/>
                <w:lang w:eastAsia="zh-CN"/>
              </w:rPr>
              <w:t>确保可能存在潜在下游少数民族风险和影响的技术援助活动的工作大纲和成果报告中，包含对这些风险和影响的评估，以及符合环境和社会标准7的建议缓解措施。工作大纲和成果报告应提交世界银行审查并获得无异议</w:t>
            </w:r>
            <w:r>
              <w:rPr>
                <w:rFonts w:hint="eastAsia"/>
                <w:sz w:val="20"/>
                <w:szCs w:val="20"/>
                <w:lang w:eastAsia="zh-CN"/>
              </w:rPr>
              <w:t>意见</w:t>
            </w:r>
            <w:r w:rsidRPr="00EE201F">
              <w:rPr>
                <w:sz w:val="20"/>
                <w:szCs w:val="20"/>
                <w:lang w:eastAsia="zh-CN"/>
              </w:rPr>
              <w:t>。</w:t>
            </w:r>
          </w:p>
        </w:tc>
        <w:tc>
          <w:tcPr>
            <w:tcW w:w="3150" w:type="dxa"/>
          </w:tcPr>
          <w:p w14:paraId="33A423E1" w14:textId="77777777" w:rsidR="00D27BFA" w:rsidRPr="00302478" w:rsidRDefault="00D27BFA" w:rsidP="003A1A0F">
            <w:pPr>
              <w:keepLines/>
              <w:widowControl w:val="0"/>
              <w:rPr>
                <w:rFonts w:eastAsia="Calibri" w:cstheme="minorHAnsi"/>
                <w:bCs/>
                <w:sz w:val="20"/>
                <w:szCs w:val="20"/>
                <w:lang w:val="en-GB" w:eastAsia="zh-CN"/>
              </w:rPr>
            </w:pPr>
            <w:r w:rsidRPr="00534C0C">
              <w:rPr>
                <w:rFonts w:cstheme="minorHAnsi"/>
                <w:sz w:val="20"/>
                <w:szCs w:val="20"/>
                <w:lang w:eastAsia="zh-CN"/>
              </w:rPr>
              <w:t>在相关技术援助活动开始招标程序之前，并在整个活动实施期间。</w:t>
            </w:r>
          </w:p>
        </w:tc>
        <w:tc>
          <w:tcPr>
            <w:tcW w:w="2160" w:type="dxa"/>
          </w:tcPr>
          <w:p w14:paraId="3B0149C7" w14:textId="77777777" w:rsidR="00D27BFA" w:rsidRPr="00302478" w:rsidRDefault="00D27BFA" w:rsidP="003A1A0F">
            <w:pPr>
              <w:keepLines/>
              <w:widowControl w:val="0"/>
              <w:rPr>
                <w:rFonts w:cstheme="minorHAnsi"/>
                <w:sz w:val="20"/>
                <w:szCs w:val="20"/>
              </w:rPr>
            </w:pPr>
            <w:r>
              <w:rPr>
                <w:rFonts w:cstheme="minorHAnsi" w:hint="eastAsia"/>
                <w:sz w:val="20"/>
                <w:szCs w:val="20"/>
                <w:lang w:eastAsia="zh-CN"/>
              </w:rPr>
              <w:t xml:space="preserve">FECO </w:t>
            </w:r>
            <w:r w:rsidRPr="00492DF7">
              <w:rPr>
                <w:rFonts w:cstheme="minorHAnsi"/>
                <w:sz w:val="20"/>
                <w:szCs w:val="20"/>
                <w:lang w:eastAsia="zh-CN"/>
              </w:rPr>
              <w:t xml:space="preserve">PMO </w:t>
            </w:r>
          </w:p>
          <w:p w14:paraId="3B78255E" w14:textId="77777777" w:rsidR="00D27BFA" w:rsidRPr="00302478" w:rsidRDefault="00D27BFA" w:rsidP="003A1A0F">
            <w:pPr>
              <w:keepLines/>
              <w:widowControl w:val="0"/>
              <w:rPr>
                <w:rFonts w:cstheme="minorHAnsi"/>
                <w:sz w:val="20"/>
                <w:szCs w:val="20"/>
                <w:lang w:eastAsia="zh-CN"/>
              </w:rPr>
            </w:pPr>
          </w:p>
        </w:tc>
      </w:tr>
      <w:tr w:rsidR="00D27BFA" w:rsidRPr="00302478" w14:paraId="7721916D" w14:textId="77777777" w:rsidTr="003A1A0F">
        <w:trPr>
          <w:trHeight w:val="20"/>
        </w:trPr>
        <w:tc>
          <w:tcPr>
            <w:tcW w:w="14305" w:type="dxa"/>
            <w:gridSpan w:val="4"/>
            <w:shd w:val="clear" w:color="auto" w:fill="F1A983" w:themeFill="accent2" w:themeFillTint="99"/>
          </w:tcPr>
          <w:p w14:paraId="74A849BB" w14:textId="77777777" w:rsidR="00D27BFA" w:rsidRPr="00302478" w:rsidRDefault="00D27BFA" w:rsidP="003A1A0F">
            <w:pPr>
              <w:keepLines/>
              <w:widowControl w:val="0"/>
              <w:rPr>
                <w:rFonts w:cstheme="minorHAnsi"/>
                <w:sz w:val="20"/>
                <w:szCs w:val="20"/>
                <w:lang w:eastAsia="zh-CN"/>
              </w:rPr>
            </w:pPr>
            <w:r>
              <w:rPr>
                <w:rFonts w:cstheme="minorHAnsi" w:hint="eastAsia"/>
                <w:b/>
                <w:sz w:val="20"/>
                <w:szCs w:val="20"/>
                <w:lang w:eastAsia="zh-CN"/>
              </w:rPr>
              <w:lastRenderedPageBreak/>
              <w:t>环境和社会标准</w:t>
            </w:r>
            <w:r w:rsidRPr="00302478">
              <w:rPr>
                <w:rFonts w:cstheme="minorHAnsi"/>
                <w:b/>
                <w:sz w:val="20"/>
                <w:szCs w:val="20"/>
                <w:lang w:eastAsia="zh-CN"/>
              </w:rPr>
              <w:t xml:space="preserve"> 8:</w:t>
            </w:r>
            <w:r w:rsidRPr="00640B30">
              <w:rPr>
                <w:rFonts w:cstheme="minorHAnsi"/>
                <w:b/>
                <w:bCs/>
                <w:sz w:val="20"/>
                <w:szCs w:val="20"/>
                <w:lang w:eastAsia="zh-CN"/>
              </w:rPr>
              <w:t>文化遗产</w:t>
            </w:r>
          </w:p>
        </w:tc>
      </w:tr>
      <w:tr w:rsidR="00D27BFA" w:rsidRPr="00302478" w14:paraId="0AC024E2" w14:textId="77777777" w:rsidTr="003A1A0F">
        <w:trPr>
          <w:trHeight w:val="20"/>
        </w:trPr>
        <w:tc>
          <w:tcPr>
            <w:tcW w:w="625" w:type="dxa"/>
          </w:tcPr>
          <w:p w14:paraId="5DD50499" w14:textId="77777777" w:rsidR="00D27BFA" w:rsidRPr="00302478" w:rsidRDefault="00D27BFA" w:rsidP="003A1A0F">
            <w:pPr>
              <w:keepLines/>
              <w:widowControl w:val="0"/>
              <w:jc w:val="center"/>
              <w:rPr>
                <w:rFonts w:cstheme="minorHAnsi"/>
                <w:sz w:val="20"/>
                <w:szCs w:val="20"/>
              </w:rPr>
            </w:pPr>
            <w:r w:rsidRPr="00302478">
              <w:rPr>
                <w:rFonts w:cstheme="minorHAnsi"/>
                <w:sz w:val="20"/>
                <w:szCs w:val="20"/>
              </w:rPr>
              <w:t>8.</w:t>
            </w:r>
            <w:r>
              <w:rPr>
                <w:rFonts w:cstheme="minorHAnsi" w:hint="eastAsia"/>
                <w:sz w:val="20"/>
                <w:szCs w:val="20"/>
                <w:lang w:eastAsia="zh-CN"/>
              </w:rPr>
              <w:t>1</w:t>
            </w:r>
          </w:p>
        </w:tc>
        <w:tc>
          <w:tcPr>
            <w:tcW w:w="8370" w:type="dxa"/>
          </w:tcPr>
          <w:p w14:paraId="501E411D" w14:textId="77777777" w:rsidR="00D27BFA" w:rsidRPr="002F50F1" w:rsidRDefault="00D27BFA" w:rsidP="002F50F1">
            <w:pPr>
              <w:keepLines/>
              <w:widowControl w:val="0"/>
              <w:rPr>
                <w:rFonts w:cstheme="minorHAnsi"/>
                <w:b/>
                <w:color w:val="156082" w:themeColor="accent1"/>
                <w:sz w:val="20"/>
                <w:szCs w:val="20"/>
                <w:lang w:eastAsia="zh-CN"/>
              </w:rPr>
            </w:pPr>
            <w:r>
              <w:rPr>
                <w:rFonts w:cstheme="minorHAnsi" w:hint="eastAsia"/>
                <w:b/>
                <w:color w:val="156082" w:themeColor="accent1"/>
                <w:sz w:val="20"/>
                <w:szCs w:val="20"/>
                <w:lang w:eastAsia="zh-CN"/>
              </w:rPr>
              <w:t>偶然发现</w:t>
            </w:r>
          </w:p>
          <w:p w14:paraId="3DEB605D" w14:textId="77777777" w:rsidR="00D27BFA" w:rsidRPr="00267F94" w:rsidRDefault="00D27BFA" w:rsidP="003A1A0F">
            <w:pPr>
              <w:rPr>
                <w:sz w:val="20"/>
                <w:szCs w:val="20"/>
                <w:lang w:eastAsia="zh-CN"/>
              </w:rPr>
            </w:pPr>
            <w:r w:rsidRPr="00EE201F">
              <w:rPr>
                <w:sz w:val="20"/>
                <w:szCs w:val="20"/>
                <w:lang w:eastAsia="zh-CN"/>
              </w:rPr>
              <w:t>对于技术援助活动，在相关情况下，工作大纲和成果报告中应包含对潜在下游文化遗产影响的评估和建议的缓解措施，包括相关的偶然发现程序。工作大纲和成果报告应提交世界银行审查并获得无异议</w:t>
            </w:r>
            <w:r>
              <w:rPr>
                <w:rFonts w:hint="eastAsia"/>
                <w:sz w:val="20"/>
                <w:szCs w:val="20"/>
                <w:lang w:eastAsia="zh-CN"/>
              </w:rPr>
              <w:t>意见</w:t>
            </w:r>
            <w:r w:rsidRPr="00EE201F">
              <w:rPr>
                <w:sz w:val="20"/>
                <w:szCs w:val="20"/>
                <w:lang w:eastAsia="zh-CN"/>
              </w:rPr>
              <w:t>。</w:t>
            </w:r>
          </w:p>
        </w:tc>
        <w:tc>
          <w:tcPr>
            <w:tcW w:w="3150" w:type="dxa"/>
          </w:tcPr>
          <w:p w14:paraId="09DC9420" w14:textId="77777777" w:rsidR="00D27BFA" w:rsidRPr="00F8709F" w:rsidRDefault="00D27BFA" w:rsidP="003A1A0F">
            <w:pPr>
              <w:keepLines/>
              <w:widowControl w:val="0"/>
              <w:rPr>
                <w:rFonts w:cstheme="minorHAnsi"/>
                <w:sz w:val="20"/>
                <w:szCs w:val="20"/>
                <w:lang w:eastAsia="zh-CN"/>
              </w:rPr>
            </w:pPr>
            <w:r w:rsidRPr="00534C0C">
              <w:rPr>
                <w:rFonts w:cstheme="minorHAnsi"/>
                <w:sz w:val="20"/>
                <w:szCs w:val="20"/>
                <w:lang w:eastAsia="zh-CN"/>
              </w:rPr>
              <w:t>在相关技术援助活动开始招标程序之前，并在整个活动实施期间。</w:t>
            </w:r>
          </w:p>
        </w:tc>
        <w:tc>
          <w:tcPr>
            <w:tcW w:w="2160" w:type="dxa"/>
          </w:tcPr>
          <w:p w14:paraId="6E2B35E9" w14:textId="77777777" w:rsidR="00D27BFA" w:rsidRPr="00302478" w:rsidRDefault="00D27BFA" w:rsidP="003A1A0F">
            <w:pPr>
              <w:keepLines/>
              <w:widowControl w:val="0"/>
              <w:rPr>
                <w:rFonts w:cstheme="minorHAnsi"/>
                <w:sz w:val="20"/>
                <w:szCs w:val="20"/>
                <w:lang w:eastAsia="zh-CN"/>
              </w:rPr>
            </w:pPr>
            <w:r>
              <w:rPr>
                <w:rFonts w:cstheme="minorHAnsi" w:hint="eastAsia"/>
                <w:sz w:val="20"/>
                <w:szCs w:val="20"/>
                <w:lang w:eastAsia="zh-CN"/>
              </w:rPr>
              <w:t>FECO PMO</w:t>
            </w:r>
          </w:p>
        </w:tc>
      </w:tr>
      <w:tr w:rsidR="00D27BFA" w:rsidRPr="00302478" w14:paraId="27DE4FC4" w14:textId="77777777" w:rsidTr="003A1A0F">
        <w:trPr>
          <w:trHeight w:val="20"/>
        </w:trPr>
        <w:tc>
          <w:tcPr>
            <w:tcW w:w="14305" w:type="dxa"/>
            <w:gridSpan w:val="4"/>
            <w:shd w:val="clear" w:color="auto" w:fill="F1A983" w:themeFill="accent2" w:themeFillTint="99"/>
          </w:tcPr>
          <w:p w14:paraId="0853A1AF" w14:textId="77777777" w:rsidR="00D27BFA" w:rsidRDefault="00D27BFA" w:rsidP="003A1A0F">
            <w:pPr>
              <w:keepLines/>
              <w:widowControl w:val="0"/>
              <w:rPr>
                <w:rFonts w:cstheme="minorHAnsi"/>
                <w:b/>
                <w:bCs/>
                <w:sz w:val="20"/>
                <w:szCs w:val="20"/>
                <w:lang w:eastAsia="zh-CN"/>
              </w:rPr>
            </w:pPr>
            <w:r>
              <w:rPr>
                <w:rFonts w:cstheme="minorHAnsi" w:hint="eastAsia"/>
                <w:b/>
                <w:sz w:val="20"/>
                <w:szCs w:val="20"/>
                <w:lang w:eastAsia="zh-CN"/>
              </w:rPr>
              <w:t>环境和社会标准</w:t>
            </w:r>
            <w:r w:rsidRPr="00302478">
              <w:rPr>
                <w:rFonts w:cstheme="minorHAnsi"/>
                <w:b/>
                <w:sz w:val="20"/>
                <w:szCs w:val="20"/>
                <w:lang w:eastAsia="zh-CN"/>
              </w:rPr>
              <w:t xml:space="preserve"> 9: </w:t>
            </w:r>
            <w:r w:rsidRPr="00640B30">
              <w:rPr>
                <w:rFonts w:cstheme="minorHAnsi"/>
                <w:b/>
                <w:bCs/>
                <w:sz w:val="20"/>
                <w:szCs w:val="20"/>
                <w:lang w:eastAsia="zh-CN"/>
              </w:rPr>
              <w:t>金融中介机构</w:t>
            </w:r>
          </w:p>
          <w:p w14:paraId="0B6E772A" w14:textId="77777777" w:rsidR="00D27BFA" w:rsidRPr="00C5226D" w:rsidRDefault="00D27BFA" w:rsidP="003A1A0F">
            <w:pPr>
              <w:keepLines/>
              <w:widowControl w:val="0"/>
              <w:rPr>
                <w:rFonts w:ascii="Helvetica Neue" w:hAnsi="Helvetica Neue"/>
                <w:color w:val="262626"/>
                <w:kern w:val="2"/>
                <w:shd w:val="clear" w:color="auto" w:fill="FFFFFF"/>
                <w:lang w:eastAsia="zh-CN"/>
              </w:rPr>
            </w:pPr>
            <w:r w:rsidRPr="00C5226D">
              <w:rPr>
                <w:rFonts w:cstheme="minorHAnsi" w:hint="eastAsia"/>
                <w:sz w:val="20"/>
                <w:szCs w:val="20"/>
                <w:lang w:eastAsia="zh-CN"/>
              </w:rPr>
              <w:t>不适用</w:t>
            </w:r>
          </w:p>
        </w:tc>
      </w:tr>
      <w:tr w:rsidR="00D27BFA" w:rsidRPr="00302478" w14:paraId="18114957" w14:textId="77777777" w:rsidTr="003A1A0F">
        <w:trPr>
          <w:trHeight w:val="20"/>
        </w:trPr>
        <w:tc>
          <w:tcPr>
            <w:tcW w:w="14305" w:type="dxa"/>
            <w:gridSpan w:val="4"/>
            <w:shd w:val="clear" w:color="auto" w:fill="F1A983" w:themeFill="accent2" w:themeFillTint="99"/>
          </w:tcPr>
          <w:p w14:paraId="16A6CCF3" w14:textId="77777777" w:rsidR="00D27BFA" w:rsidRPr="00302478" w:rsidRDefault="00D27BFA" w:rsidP="003A1A0F">
            <w:pPr>
              <w:keepLines/>
              <w:widowControl w:val="0"/>
              <w:rPr>
                <w:rFonts w:cstheme="minorHAnsi"/>
                <w:sz w:val="20"/>
                <w:szCs w:val="20"/>
                <w:lang w:eastAsia="zh-CN"/>
              </w:rPr>
            </w:pPr>
            <w:r>
              <w:rPr>
                <w:rFonts w:cstheme="minorHAnsi" w:hint="eastAsia"/>
                <w:b/>
                <w:sz w:val="20"/>
                <w:szCs w:val="20"/>
                <w:lang w:eastAsia="zh-CN"/>
              </w:rPr>
              <w:t>环境和社会标准</w:t>
            </w:r>
            <w:r w:rsidRPr="00302478">
              <w:rPr>
                <w:rFonts w:cstheme="minorHAnsi"/>
                <w:b/>
                <w:sz w:val="20"/>
                <w:szCs w:val="20"/>
                <w:lang w:eastAsia="zh-CN"/>
              </w:rPr>
              <w:t xml:space="preserve"> 10: </w:t>
            </w:r>
            <w:r w:rsidRPr="00640B30">
              <w:rPr>
                <w:rFonts w:cstheme="minorHAnsi"/>
                <w:b/>
                <w:sz w:val="20"/>
                <w:szCs w:val="20"/>
                <w:lang w:eastAsia="zh-CN"/>
              </w:rPr>
              <w:t>利益相关方参与和信息披露</w:t>
            </w:r>
          </w:p>
        </w:tc>
      </w:tr>
      <w:tr w:rsidR="00D27BFA" w:rsidRPr="00302478" w14:paraId="2FDD813D" w14:textId="77777777" w:rsidTr="003A1A0F">
        <w:trPr>
          <w:trHeight w:val="20"/>
        </w:trPr>
        <w:tc>
          <w:tcPr>
            <w:tcW w:w="625" w:type="dxa"/>
          </w:tcPr>
          <w:p w14:paraId="6A3757E2" w14:textId="77777777" w:rsidR="00D27BFA" w:rsidRPr="00302478" w:rsidRDefault="00D27BFA" w:rsidP="003A1A0F">
            <w:pPr>
              <w:keepLines/>
              <w:widowControl w:val="0"/>
              <w:jc w:val="center"/>
              <w:rPr>
                <w:rFonts w:cstheme="minorHAnsi"/>
                <w:sz w:val="20"/>
                <w:szCs w:val="20"/>
              </w:rPr>
            </w:pPr>
            <w:r w:rsidRPr="00302478">
              <w:rPr>
                <w:rFonts w:cstheme="minorHAnsi"/>
                <w:sz w:val="20"/>
                <w:szCs w:val="20"/>
              </w:rPr>
              <w:t>10.1</w:t>
            </w:r>
          </w:p>
        </w:tc>
        <w:tc>
          <w:tcPr>
            <w:tcW w:w="8370" w:type="dxa"/>
          </w:tcPr>
          <w:p w14:paraId="17B64E8C" w14:textId="2A776BF7" w:rsidR="00D27BFA" w:rsidRPr="00D27BFA" w:rsidRDefault="00D27BFA" w:rsidP="002F50F1">
            <w:pPr>
              <w:keepLines/>
              <w:widowControl w:val="0"/>
              <w:rPr>
                <w:rFonts w:cstheme="minorHAnsi"/>
                <w:b/>
                <w:color w:val="156082" w:themeColor="accent1"/>
                <w:sz w:val="20"/>
                <w:szCs w:val="20"/>
                <w:lang w:eastAsia="zh-CN"/>
              </w:rPr>
            </w:pPr>
            <w:r>
              <w:rPr>
                <w:rFonts w:cstheme="minorHAnsi" w:hint="eastAsia"/>
                <w:b/>
                <w:color w:val="156082" w:themeColor="accent1"/>
                <w:sz w:val="20"/>
                <w:szCs w:val="20"/>
                <w:lang w:eastAsia="zh-CN"/>
              </w:rPr>
              <w:t>利益相关者参与计划</w:t>
            </w:r>
          </w:p>
          <w:p w14:paraId="47F01904" w14:textId="77777777" w:rsidR="00D27BFA" w:rsidRPr="002128F8" w:rsidRDefault="00D27BFA" w:rsidP="003A1A0F">
            <w:pPr>
              <w:rPr>
                <w:sz w:val="20"/>
                <w:szCs w:val="20"/>
                <w:lang w:eastAsia="zh-CN"/>
              </w:rPr>
            </w:pPr>
            <w:r w:rsidRPr="002128F8">
              <w:rPr>
                <w:sz w:val="20"/>
                <w:szCs w:val="20"/>
                <w:lang w:eastAsia="zh-CN"/>
              </w:rPr>
              <w:t>在ESMF准备过程中已经编制了利益相关者参与计划（SEP）。</w:t>
            </w:r>
          </w:p>
          <w:p w14:paraId="528F9C38" w14:textId="67CAEB55" w:rsidR="00D27BFA" w:rsidRPr="00D27BFA" w:rsidRDefault="00D27BFA" w:rsidP="003A1A0F">
            <w:pPr>
              <w:rPr>
                <w:sz w:val="20"/>
                <w:szCs w:val="20"/>
                <w:lang w:eastAsia="zh-CN"/>
              </w:rPr>
            </w:pPr>
            <w:r w:rsidRPr="002128F8">
              <w:rPr>
                <w:sz w:val="20"/>
                <w:szCs w:val="20"/>
                <w:lang w:eastAsia="zh-CN"/>
              </w:rPr>
              <w:t>按照ESS10的要求更新并实施项目的SEP，其中包括采取措施，以便及时向利益相关者提供相关的、易于理解的和可获取的信息，并以文化上适当的方式与他们进行磋商，确保这种磋商不存在操纵、干预、胁迫、歧视和恐吓。</w:t>
            </w:r>
          </w:p>
        </w:tc>
        <w:tc>
          <w:tcPr>
            <w:tcW w:w="3150" w:type="dxa"/>
          </w:tcPr>
          <w:p w14:paraId="6A68F93E" w14:textId="77777777" w:rsidR="00D27BFA" w:rsidRPr="00B35B23" w:rsidRDefault="00D27BFA" w:rsidP="003A1A0F">
            <w:pPr>
              <w:keepLines/>
              <w:widowControl w:val="0"/>
              <w:rPr>
                <w:rFonts w:cstheme="minorHAnsi"/>
                <w:sz w:val="20"/>
                <w:szCs w:val="20"/>
                <w:lang w:eastAsia="zh-CN"/>
              </w:rPr>
            </w:pPr>
            <w:r w:rsidRPr="00B35B23">
              <w:rPr>
                <w:rFonts w:cstheme="minorHAnsi" w:hint="eastAsia"/>
                <w:sz w:val="20"/>
                <w:szCs w:val="20"/>
                <w:lang w:eastAsia="zh-CN"/>
              </w:rPr>
              <w:t>项目整个实施过程</w:t>
            </w:r>
          </w:p>
          <w:p w14:paraId="582EA4C0" w14:textId="77777777" w:rsidR="00D27BFA" w:rsidRPr="00951CD2" w:rsidRDefault="00D27BFA" w:rsidP="003A1A0F">
            <w:pPr>
              <w:rPr>
                <w:rFonts w:cstheme="minorHAnsi"/>
                <w:sz w:val="20"/>
                <w:szCs w:val="20"/>
                <w:lang w:eastAsia="zh-CN"/>
              </w:rPr>
            </w:pPr>
          </w:p>
        </w:tc>
        <w:tc>
          <w:tcPr>
            <w:tcW w:w="2160" w:type="dxa"/>
          </w:tcPr>
          <w:p w14:paraId="107342CD" w14:textId="77777777" w:rsidR="00D27BFA" w:rsidRPr="00302478" w:rsidRDefault="00D27BFA" w:rsidP="003A1A0F">
            <w:pPr>
              <w:keepLines/>
              <w:widowControl w:val="0"/>
              <w:rPr>
                <w:rFonts w:cstheme="minorHAnsi"/>
                <w:sz w:val="20"/>
                <w:szCs w:val="20"/>
              </w:rPr>
            </w:pPr>
            <w:r>
              <w:rPr>
                <w:rFonts w:cstheme="minorHAnsi" w:hint="eastAsia"/>
                <w:sz w:val="20"/>
                <w:szCs w:val="20"/>
                <w:lang w:eastAsia="zh-CN"/>
              </w:rPr>
              <w:t>FECO PMO</w:t>
            </w:r>
          </w:p>
          <w:p w14:paraId="30D67F47" w14:textId="77777777" w:rsidR="00D27BFA" w:rsidRPr="00302478" w:rsidRDefault="00D27BFA" w:rsidP="003A1A0F">
            <w:pPr>
              <w:keepLines/>
              <w:widowControl w:val="0"/>
              <w:rPr>
                <w:rFonts w:cstheme="minorHAnsi"/>
                <w:sz w:val="20"/>
                <w:szCs w:val="20"/>
                <w:lang w:eastAsia="zh-CN"/>
              </w:rPr>
            </w:pPr>
          </w:p>
        </w:tc>
      </w:tr>
      <w:tr w:rsidR="00D27BFA" w:rsidRPr="00302478" w14:paraId="1406551C" w14:textId="77777777" w:rsidTr="003A1A0F">
        <w:trPr>
          <w:trHeight w:val="20"/>
        </w:trPr>
        <w:tc>
          <w:tcPr>
            <w:tcW w:w="625" w:type="dxa"/>
          </w:tcPr>
          <w:p w14:paraId="5FB3CEB6" w14:textId="77777777" w:rsidR="00D27BFA" w:rsidRPr="00302478" w:rsidRDefault="00D27BFA" w:rsidP="003A1A0F">
            <w:pPr>
              <w:keepLines/>
              <w:widowControl w:val="0"/>
              <w:jc w:val="center"/>
              <w:rPr>
                <w:rFonts w:cstheme="minorHAnsi"/>
                <w:sz w:val="20"/>
                <w:szCs w:val="20"/>
              </w:rPr>
            </w:pPr>
            <w:r w:rsidRPr="00302478">
              <w:rPr>
                <w:rFonts w:cstheme="minorHAnsi"/>
                <w:sz w:val="20"/>
                <w:szCs w:val="20"/>
              </w:rPr>
              <w:t>10.2</w:t>
            </w:r>
          </w:p>
        </w:tc>
        <w:tc>
          <w:tcPr>
            <w:tcW w:w="8370" w:type="dxa"/>
          </w:tcPr>
          <w:p w14:paraId="029EA9CF" w14:textId="4275B9F2" w:rsidR="00D27BFA" w:rsidRPr="00D27BFA" w:rsidRDefault="00D27BFA" w:rsidP="003A1A0F">
            <w:pPr>
              <w:keepLines/>
              <w:widowControl w:val="0"/>
              <w:rPr>
                <w:rFonts w:cstheme="minorHAnsi"/>
                <w:b/>
                <w:color w:val="156082" w:themeColor="accent1"/>
                <w:sz w:val="20"/>
                <w:szCs w:val="20"/>
                <w:lang w:eastAsia="zh-CN"/>
              </w:rPr>
            </w:pPr>
            <w:r w:rsidRPr="002F50F1">
              <w:rPr>
                <w:rFonts w:cstheme="minorHAnsi" w:hint="eastAsia"/>
                <w:b/>
                <w:color w:val="156082" w:themeColor="accent1"/>
                <w:sz w:val="20"/>
                <w:szCs w:val="20"/>
                <w:lang w:eastAsia="zh-CN"/>
              </w:rPr>
              <w:t>项目申诉机制</w:t>
            </w:r>
          </w:p>
          <w:p w14:paraId="403D212F" w14:textId="396B633D" w:rsidR="00D27BFA" w:rsidRDefault="00D27BFA" w:rsidP="003A1A0F">
            <w:pPr>
              <w:keepLines/>
              <w:widowControl w:val="0"/>
              <w:rPr>
                <w:rFonts w:cstheme="minorHAnsi"/>
                <w:sz w:val="20"/>
                <w:szCs w:val="20"/>
                <w:lang w:val="en-GB" w:eastAsia="zh-CN"/>
              </w:rPr>
            </w:pPr>
            <w:r w:rsidRPr="00951CD2">
              <w:rPr>
                <w:rFonts w:cstheme="minorHAnsi"/>
                <w:sz w:val="20"/>
                <w:szCs w:val="20"/>
                <w:lang w:val="en-GB" w:eastAsia="zh-CN"/>
              </w:rPr>
              <w:lastRenderedPageBreak/>
              <w:t>建立、公布、维护和运行一个便于使用的申诉机制，以迅速、有效、透明的方式接收和协助解决与项目相关的关切和申诉。该机制应当以文化上适当的方式，让所有受项目影响的各方都能便利地使用，无需付费且不会遭到报复，包括可以匿名提出关切和申诉，这些都需符合ESS10的要求。</w:t>
            </w:r>
          </w:p>
          <w:p w14:paraId="177ACA37" w14:textId="6EB3035A" w:rsidR="00D27BFA" w:rsidRPr="00D27BFA" w:rsidRDefault="00D27BFA" w:rsidP="003A1A0F">
            <w:pPr>
              <w:keepLines/>
              <w:widowControl w:val="0"/>
              <w:rPr>
                <w:rFonts w:cstheme="minorHAnsi"/>
                <w:sz w:val="20"/>
                <w:szCs w:val="20"/>
                <w:lang w:val="en-GB" w:eastAsia="zh-CN"/>
              </w:rPr>
            </w:pPr>
            <w:r w:rsidRPr="00951CD2">
              <w:rPr>
                <w:rFonts w:cstheme="minorHAnsi"/>
                <w:sz w:val="20"/>
                <w:szCs w:val="20"/>
                <w:lang w:val="en-GB" w:eastAsia="zh-CN"/>
              </w:rPr>
              <w:t>该申诉机制应具备接收、登记和协助解决性剥削、性虐待和性骚扰（SEA/SH）投诉的能力，包括以安全、保密和以幸存者为中心的方式将幸存者转介给相关的性别暴力服务提供者。</w:t>
            </w:r>
          </w:p>
        </w:tc>
        <w:tc>
          <w:tcPr>
            <w:tcW w:w="3150" w:type="dxa"/>
          </w:tcPr>
          <w:p w14:paraId="5CAC5973" w14:textId="77777777" w:rsidR="00D27BFA" w:rsidRPr="00B35B23" w:rsidRDefault="00D27BFA" w:rsidP="003A1A0F">
            <w:pPr>
              <w:keepLines/>
              <w:widowControl w:val="0"/>
              <w:rPr>
                <w:rFonts w:cstheme="minorHAnsi"/>
                <w:sz w:val="20"/>
                <w:szCs w:val="20"/>
                <w:lang w:eastAsia="zh-CN"/>
              </w:rPr>
            </w:pPr>
            <w:r w:rsidRPr="00B35B23">
              <w:rPr>
                <w:rFonts w:cstheme="minorHAnsi" w:hint="eastAsia"/>
                <w:sz w:val="20"/>
                <w:szCs w:val="20"/>
                <w:lang w:eastAsia="zh-CN"/>
              </w:rPr>
              <w:lastRenderedPageBreak/>
              <w:t>项目整个实施过程</w:t>
            </w:r>
          </w:p>
          <w:p w14:paraId="5AF076D4" w14:textId="77777777" w:rsidR="00D27BFA" w:rsidRPr="00302478" w:rsidRDefault="00D27BFA" w:rsidP="003A1A0F">
            <w:pPr>
              <w:keepLines/>
              <w:widowControl w:val="0"/>
              <w:rPr>
                <w:rFonts w:cstheme="minorHAnsi"/>
                <w:sz w:val="20"/>
                <w:szCs w:val="20"/>
                <w:lang w:eastAsia="zh-CN"/>
              </w:rPr>
            </w:pPr>
          </w:p>
        </w:tc>
        <w:tc>
          <w:tcPr>
            <w:tcW w:w="2160" w:type="dxa"/>
          </w:tcPr>
          <w:p w14:paraId="560B8BFD" w14:textId="77777777" w:rsidR="00D27BFA" w:rsidRPr="00302478" w:rsidRDefault="00D27BFA" w:rsidP="003A1A0F">
            <w:pPr>
              <w:keepLines/>
              <w:widowControl w:val="0"/>
              <w:rPr>
                <w:rFonts w:cstheme="minorHAnsi"/>
                <w:sz w:val="20"/>
                <w:szCs w:val="20"/>
                <w:lang w:eastAsia="zh-CN"/>
              </w:rPr>
            </w:pPr>
            <w:r>
              <w:rPr>
                <w:rFonts w:cstheme="minorHAnsi" w:hint="eastAsia"/>
                <w:sz w:val="20"/>
                <w:szCs w:val="20"/>
                <w:lang w:eastAsia="zh-CN"/>
              </w:rPr>
              <w:t>FECO PMO</w:t>
            </w:r>
            <w:r w:rsidRPr="00492DF7" w:rsidDel="00AF149F">
              <w:rPr>
                <w:rFonts w:cstheme="minorHAnsi"/>
                <w:sz w:val="20"/>
                <w:szCs w:val="20"/>
                <w:lang w:eastAsia="zh-CN"/>
              </w:rPr>
              <w:t xml:space="preserve"> </w:t>
            </w:r>
          </w:p>
        </w:tc>
      </w:tr>
      <w:tr w:rsidR="00D27BFA" w:rsidRPr="00302478" w14:paraId="44AA0CD6" w14:textId="77777777" w:rsidTr="003A1A0F">
        <w:trPr>
          <w:trHeight w:val="20"/>
        </w:trPr>
        <w:tc>
          <w:tcPr>
            <w:tcW w:w="14305" w:type="dxa"/>
            <w:gridSpan w:val="4"/>
            <w:shd w:val="clear" w:color="auto" w:fill="F1A983" w:themeFill="accent2" w:themeFillTint="99"/>
          </w:tcPr>
          <w:p w14:paraId="51FBD1BC" w14:textId="77777777" w:rsidR="00D27BFA" w:rsidRPr="00B35B23" w:rsidRDefault="00D27BFA" w:rsidP="003A1A0F">
            <w:pPr>
              <w:keepLines/>
              <w:widowControl w:val="0"/>
              <w:rPr>
                <w:sz w:val="20"/>
                <w:szCs w:val="20"/>
              </w:rPr>
            </w:pPr>
            <w:r w:rsidRPr="00B512BD">
              <w:rPr>
                <w:rFonts w:cstheme="minorHAnsi"/>
                <w:b/>
                <w:sz w:val="20"/>
                <w:szCs w:val="20"/>
              </w:rPr>
              <w:t>I</w:t>
            </w:r>
            <w:r w:rsidRPr="00902E13">
              <w:rPr>
                <w:sz w:val="20"/>
                <w:szCs w:val="20"/>
              </w:rPr>
              <w:t>.</w:t>
            </w:r>
            <w:r>
              <w:rPr>
                <w:rFonts w:hint="eastAsia"/>
                <w:sz w:val="20"/>
                <w:szCs w:val="20"/>
                <w:lang w:eastAsia="zh-CN"/>
              </w:rPr>
              <w:t xml:space="preserve"> </w:t>
            </w:r>
            <w:r w:rsidRPr="00C15F97">
              <w:rPr>
                <w:rFonts w:cstheme="minorHAnsi"/>
                <w:b/>
                <w:bCs/>
                <w:sz w:val="20"/>
                <w:szCs w:val="20"/>
                <w:lang w:eastAsia="zh-CN"/>
              </w:rPr>
              <w:t>实施准备就绪指标</w:t>
            </w:r>
          </w:p>
        </w:tc>
      </w:tr>
      <w:tr w:rsidR="00D27BFA" w:rsidRPr="00302478" w14:paraId="2C699CE7" w14:textId="77777777" w:rsidTr="003A1A0F">
        <w:trPr>
          <w:trHeight w:val="20"/>
        </w:trPr>
        <w:tc>
          <w:tcPr>
            <w:tcW w:w="14305" w:type="dxa"/>
            <w:gridSpan w:val="4"/>
          </w:tcPr>
          <w:p w14:paraId="2F4772D7" w14:textId="77777777" w:rsidR="00D27BFA" w:rsidRPr="00C15F97" w:rsidRDefault="00D27BFA" w:rsidP="003A1A0F">
            <w:pPr>
              <w:keepLines/>
              <w:widowControl w:val="0"/>
              <w:rPr>
                <w:rFonts w:cstheme="minorHAnsi"/>
                <w:bCs/>
                <w:sz w:val="20"/>
                <w:szCs w:val="20"/>
                <w:lang w:eastAsia="zh-CN"/>
              </w:rPr>
            </w:pPr>
            <w:r w:rsidRPr="00C15F97">
              <w:rPr>
                <w:rFonts w:cstheme="minorHAnsi"/>
                <w:bCs/>
                <w:sz w:val="20"/>
                <w:szCs w:val="20"/>
                <w:lang w:eastAsia="zh-CN"/>
              </w:rPr>
              <w:t>以下行动是实施准备就绪的指标：</w:t>
            </w:r>
          </w:p>
          <w:p w14:paraId="630D6550" w14:textId="77777777" w:rsidR="00D27BFA" w:rsidRPr="00225B91" w:rsidRDefault="00D27BFA" w:rsidP="00D27BFA">
            <w:pPr>
              <w:pStyle w:val="a9"/>
              <w:keepLines/>
              <w:widowControl w:val="0"/>
              <w:numPr>
                <w:ilvl w:val="0"/>
                <w:numId w:val="2"/>
              </w:numPr>
              <w:spacing w:after="0" w:line="240" w:lineRule="auto"/>
              <w:contextualSpacing w:val="0"/>
              <w:jc w:val="both"/>
              <w:rPr>
                <w:rFonts w:cstheme="minorHAnsi"/>
                <w:sz w:val="20"/>
                <w:szCs w:val="20"/>
                <w:lang w:eastAsia="zh-CN"/>
              </w:rPr>
            </w:pPr>
            <w:r w:rsidRPr="00225B91">
              <w:rPr>
                <w:rFonts w:cstheme="minorHAnsi"/>
                <w:sz w:val="20"/>
                <w:szCs w:val="20"/>
                <w:lang w:eastAsia="zh-CN"/>
              </w:rPr>
              <w:t>项目办确定负责环境与社会管理的专职人员至少一名，负责环境与社会管理方面的事务，并确保提供资金保障。</w:t>
            </w:r>
          </w:p>
          <w:p w14:paraId="13F4ABA5" w14:textId="77777777" w:rsidR="00D27BFA" w:rsidRPr="00B35B23" w:rsidRDefault="00D27BFA" w:rsidP="00D27BFA">
            <w:pPr>
              <w:pStyle w:val="a9"/>
              <w:keepLines/>
              <w:widowControl w:val="0"/>
              <w:numPr>
                <w:ilvl w:val="0"/>
                <w:numId w:val="2"/>
              </w:numPr>
              <w:spacing w:after="0" w:line="240" w:lineRule="auto"/>
              <w:contextualSpacing w:val="0"/>
              <w:jc w:val="both"/>
              <w:rPr>
                <w:rFonts w:cstheme="minorHAnsi"/>
                <w:sz w:val="20"/>
                <w:szCs w:val="20"/>
                <w:lang w:eastAsia="zh-CN"/>
              </w:rPr>
            </w:pPr>
            <w:r w:rsidRPr="00225B91">
              <w:rPr>
                <w:rFonts w:cstheme="minorHAnsi"/>
                <w:sz w:val="20"/>
                <w:szCs w:val="20"/>
                <w:lang w:eastAsia="zh-CN"/>
              </w:rPr>
              <w:t>项目办所有员工将定期接受来自世行环境与社会专家的培训和日常指导。</w:t>
            </w:r>
          </w:p>
        </w:tc>
      </w:tr>
    </w:tbl>
    <w:p w14:paraId="6AB51A17" w14:textId="77777777" w:rsidR="00D27BFA" w:rsidRDefault="00D27BFA" w:rsidP="00D27BFA">
      <w:pPr>
        <w:rPr>
          <w:lang w:eastAsia="zh-CN"/>
        </w:rPr>
      </w:pPr>
    </w:p>
    <w:p w14:paraId="540879D2" w14:textId="77777777" w:rsidR="00D27BFA" w:rsidRPr="00D27BFA" w:rsidRDefault="00D27BFA" w:rsidP="00D27BFA">
      <w:pPr>
        <w:pStyle w:val="a9"/>
        <w:spacing w:after="240" w:line="240" w:lineRule="auto"/>
        <w:ind w:left="360"/>
        <w:contextualSpacing w:val="0"/>
        <w:jc w:val="both"/>
        <w:rPr>
          <w:lang w:eastAsia="zh-CN"/>
        </w:rPr>
      </w:pPr>
    </w:p>
    <w:sectPr w:rsidR="00D27BFA" w:rsidRPr="00D27BFA" w:rsidSect="00D27BFA">
      <w:pgSz w:w="16840" w:h="11900"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B4ECB" w14:textId="77777777" w:rsidR="00643687" w:rsidRDefault="00643687" w:rsidP="00D27BFA">
      <w:pPr>
        <w:spacing w:after="0" w:line="240" w:lineRule="auto"/>
      </w:pPr>
      <w:r>
        <w:separator/>
      </w:r>
    </w:p>
  </w:endnote>
  <w:endnote w:type="continuationSeparator" w:id="0">
    <w:p w14:paraId="3A362827" w14:textId="77777777" w:rsidR="00643687" w:rsidRDefault="00643687" w:rsidP="00D27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7"/>
      </w:rPr>
      <w:id w:val="-1304701255"/>
      <w:docPartObj>
        <w:docPartGallery w:val="Page Numbers (Bottom of Page)"/>
        <w:docPartUnique/>
      </w:docPartObj>
    </w:sdtPr>
    <w:sdtContent>
      <w:p w14:paraId="52161D8E" w14:textId="70E9EC5F" w:rsidR="00CB1EE8" w:rsidRDefault="00CB1EE8" w:rsidP="00611829">
        <w:pPr>
          <w:pStyle w:val="af5"/>
          <w:framePr w:wrap="none" w:vAnchor="text" w:hAnchor="margin" w:xAlign="right" w:y="1"/>
          <w:rPr>
            <w:rStyle w:val="af7"/>
          </w:rPr>
        </w:pPr>
        <w:r>
          <w:rPr>
            <w:rStyle w:val="af7"/>
          </w:rPr>
          <w:fldChar w:fldCharType="begin"/>
        </w:r>
        <w:r>
          <w:rPr>
            <w:rStyle w:val="af7"/>
          </w:rPr>
          <w:instrText xml:space="preserve"> PAGE </w:instrText>
        </w:r>
        <w:r>
          <w:rPr>
            <w:rStyle w:val="af7"/>
          </w:rPr>
          <w:fldChar w:fldCharType="end"/>
        </w:r>
      </w:p>
    </w:sdtContent>
  </w:sdt>
  <w:p w14:paraId="3116C87C" w14:textId="77777777" w:rsidR="00CB1EE8" w:rsidRDefault="00CB1EE8" w:rsidP="00CB1EE8">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7"/>
      </w:rPr>
      <w:id w:val="-186832131"/>
      <w:docPartObj>
        <w:docPartGallery w:val="Page Numbers (Bottom of Page)"/>
        <w:docPartUnique/>
      </w:docPartObj>
    </w:sdtPr>
    <w:sdtContent>
      <w:p w14:paraId="4F0F8976" w14:textId="7B184007" w:rsidR="00CB1EE8" w:rsidRDefault="00CB1EE8" w:rsidP="00611829">
        <w:pPr>
          <w:pStyle w:val="af5"/>
          <w:framePr w:wrap="none" w:vAnchor="text" w:hAnchor="margin" w:xAlign="right" w:y="1"/>
          <w:rPr>
            <w:rStyle w:val="af7"/>
          </w:rPr>
        </w:pPr>
        <w:r>
          <w:rPr>
            <w:rStyle w:val="af7"/>
          </w:rPr>
          <w:fldChar w:fldCharType="begin"/>
        </w:r>
        <w:r>
          <w:rPr>
            <w:rStyle w:val="af7"/>
          </w:rPr>
          <w:instrText xml:space="preserve"> PAGE </w:instrText>
        </w:r>
        <w:r>
          <w:rPr>
            <w:rStyle w:val="af7"/>
          </w:rPr>
          <w:fldChar w:fldCharType="separate"/>
        </w:r>
        <w:r>
          <w:rPr>
            <w:rStyle w:val="af7"/>
            <w:noProof/>
          </w:rPr>
          <w:t>1</w:t>
        </w:r>
        <w:r>
          <w:rPr>
            <w:rStyle w:val="af7"/>
          </w:rPr>
          <w:fldChar w:fldCharType="end"/>
        </w:r>
      </w:p>
    </w:sdtContent>
  </w:sdt>
  <w:p w14:paraId="22FFEC0E" w14:textId="77777777" w:rsidR="00CB1EE8" w:rsidRDefault="00CB1EE8" w:rsidP="00CB1EE8">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EC33E" w14:textId="77777777" w:rsidR="00643687" w:rsidRDefault="00643687" w:rsidP="00D27BFA">
      <w:pPr>
        <w:spacing w:after="0" w:line="240" w:lineRule="auto"/>
      </w:pPr>
      <w:r>
        <w:separator/>
      </w:r>
    </w:p>
  </w:footnote>
  <w:footnote w:type="continuationSeparator" w:id="0">
    <w:p w14:paraId="21F52D8F" w14:textId="77777777" w:rsidR="00643687" w:rsidRDefault="00643687" w:rsidP="00D27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5A626"/>
    <w:multiLevelType w:val="singleLevel"/>
    <w:tmpl w:val="2A65A626"/>
    <w:lvl w:ilvl="0">
      <w:start w:val="1"/>
      <w:numFmt w:val="bullet"/>
      <w:lvlText w:val=""/>
      <w:lvlJc w:val="left"/>
      <w:pPr>
        <w:ind w:left="420" w:hanging="420"/>
      </w:pPr>
      <w:rPr>
        <w:rFonts w:ascii="Wingdings" w:hAnsi="Wingdings" w:hint="default"/>
      </w:rPr>
    </w:lvl>
  </w:abstractNum>
  <w:abstractNum w:abstractNumId="1"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9C6AC6"/>
    <w:multiLevelType w:val="hybridMultilevel"/>
    <w:tmpl w:val="D8D862C0"/>
    <w:lvl w:ilvl="0" w:tplc="C3BED414">
      <w:numFmt w:val="bullet"/>
      <w:lvlText w:val="•"/>
      <w:lvlJc w:val="left"/>
      <w:pPr>
        <w:ind w:left="440" w:hanging="440"/>
      </w:pPr>
      <w:rPr>
        <w:rFonts w:ascii="Calibri" w:eastAsia="Calibri" w:hAnsi="Calibri"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777599727">
    <w:abstractNumId w:val="1"/>
  </w:num>
  <w:num w:numId="2" w16cid:durableId="1113133800">
    <w:abstractNumId w:val="2"/>
  </w:num>
  <w:num w:numId="3" w16cid:durableId="81502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FA"/>
    <w:rsid w:val="002F50F1"/>
    <w:rsid w:val="003A22C4"/>
    <w:rsid w:val="003E3DC0"/>
    <w:rsid w:val="005A78B4"/>
    <w:rsid w:val="00643687"/>
    <w:rsid w:val="00813212"/>
    <w:rsid w:val="008B7074"/>
    <w:rsid w:val="009315DF"/>
    <w:rsid w:val="009D0FFA"/>
    <w:rsid w:val="00A94568"/>
    <w:rsid w:val="00B96DAA"/>
    <w:rsid w:val="00CB1EE8"/>
    <w:rsid w:val="00D27BFA"/>
    <w:rsid w:val="00E073F7"/>
    <w:rsid w:val="00E17E52"/>
    <w:rsid w:val="00EE2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E850"/>
  <w15:chartTrackingRefBased/>
  <w15:docId w15:val="{A92CFF5D-415D-4D4B-AFB7-A30ECBB3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FFA"/>
    <w:pPr>
      <w:spacing w:after="160" w:line="259" w:lineRule="auto"/>
    </w:pPr>
    <w:rPr>
      <w:sz w:val="22"/>
      <w:szCs w:val="22"/>
      <w:lang w:eastAsia="en-US"/>
      <w14:ligatures w14:val="standardContextual"/>
    </w:rPr>
  </w:style>
  <w:style w:type="paragraph" w:styleId="1">
    <w:name w:val="heading 1"/>
    <w:basedOn w:val="a"/>
    <w:next w:val="a"/>
    <w:link w:val="10"/>
    <w:uiPriority w:val="9"/>
    <w:qFormat/>
    <w:rsid w:val="009D0FF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D0FF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D0FF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D0FF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D0FF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D0FF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D0FF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FF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D0FF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FF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D0FF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D0FF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D0FFA"/>
    <w:rPr>
      <w:rFonts w:cstheme="majorBidi"/>
      <w:color w:val="0F4761" w:themeColor="accent1" w:themeShade="BF"/>
      <w:sz w:val="28"/>
      <w:szCs w:val="28"/>
    </w:rPr>
  </w:style>
  <w:style w:type="character" w:customStyle="1" w:styleId="50">
    <w:name w:val="标题 5 字符"/>
    <w:basedOn w:val="a0"/>
    <w:link w:val="5"/>
    <w:uiPriority w:val="9"/>
    <w:semiHidden/>
    <w:rsid w:val="009D0FFA"/>
    <w:rPr>
      <w:rFonts w:cstheme="majorBidi"/>
      <w:color w:val="0F4761" w:themeColor="accent1" w:themeShade="BF"/>
      <w:sz w:val="24"/>
    </w:rPr>
  </w:style>
  <w:style w:type="character" w:customStyle="1" w:styleId="60">
    <w:name w:val="标题 6 字符"/>
    <w:basedOn w:val="a0"/>
    <w:link w:val="6"/>
    <w:uiPriority w:val="9"/>
    <w:semiHidden/>
    <w:rsid w:val="009D0FFA"/>
    <w:rPr>
      <w:rFonts w:cstheme="majorBidi"/>
      <w:b/>
      <w:bCs/>
      <w:color w:val="0F4761" w:themeColor="accent1" w:themeShade="BF"/>
    </w:rPr>
  </w:style>
  <w:style w:type="character" w:customStyle="1" w:styleId="70">
    <w:name w:val="标题 7 字符"/>
    <w:basedOn w:val="a0"/>
    <w:link w:val="7"/>
    <w:uiPriority w:val="9"/>
    <w:semiHidden/>
    <w:rsid w:val="009D0FFA"/>
    <w:rPr>
      <w:rFonts w:cstheme="majorBidi"/>
      <w:b/>
      <w:bCs/>
      <w:color w:val="595959" w:themeColor="text1" w:themeTint="A6"/>
    </w:rPr>
  </w:style>
  <w:style w:type="character" w:customStyle="1" w:styleId="80">
    <w:name w:val="标题 8 字符"/>
    <w:basedOn w:val="a0"/>
    <w:link w:val="8"/>
    <w:uiPriority w:val="9"/>
    <w:semiHidden/>
    <w:rsid w:val="009D0FFA"/>
    <w:rPr>
      <w:rFonts w:cstheme="majorBidi"/>
      <w:color w:val="595959" w:themeColor="text1" w:themeTint="A6"/>
    </w:rPr>
  </w:style>
  <w:style w:type="character" w:customStyle="1" w:styleId="90">
    <w:name w:val="标题 9 字符"/>
    <w:basedOn w:val="a0"/>
    <w:link w:val="9"/>
    <w:uiPriority w:val="9"/>
    <w:semiHidden/>
    <w:rsid w:val="009D0FFA"/>
    <w:rPr>
      <w:rFonts w:eastAsiaTheme="majorEastAsia" w:cstheme="majorBidi"/>
      <w:color w:val="595959" w:themeColor="text1" w:themeTint="A6"/>
    </w:rPr>
  </w:style>
  <w:style w:type="paragraph" w:styleId="a3">
    <w:name w:val="Title"/>
    <w:basedOn w:val="a"/>
    <w:next w:val="a"/>
    <w:link w:val="a4"/>
    <w:uiPriority w:val="10"/>
    <w:qFormat/>
    <w:rsid w:val="009D0F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FFA"/>
    <w:pPr>
      <w:spacing w:before="160"/>
      <w:jc w:val="center"/>
    </w:pPr>
    <w:rPr>
      <w:i/>
      <w:iCs/>
      <w:color w:val="404040" w:themeColor="text1" w:themeTint="BF"/>
    </w:rPr>
  </w:style>
  <w:style w:type="character" w:customStyle="1" w:styleId="a8">
    <w:name w:val="引用 字符"/>
    <w:basedOn w:val="a0"/>
    <w:link w:val="a7"/>
    <w:uiPriority w:val="29"/>
    <w:rsid w:val="009D0FFA"/>
    <w:rPr>
      <w:i/>
      <w:iCs/>
      <w:color w:val="404040" w:themeColor="text1" w:themeTint="BF"/>
    </w:rPr>
  </w:style>
  <w:style w:type="paragraph" w:styleId="a9">
    <w:name w:val="List Paragraph"/>
    <w:aliases w:val="123 List Paragraph,3,Bullets,Citation List,List Paragraph (numbered (a)),List Paragraph 1,List Paragraph nowy,List_Paragraph,Liste 1,Main numbered paragraph,Number paragraph,Numbered List Paragraph,Numbered Paragraph,References,lp1,본문(내용)"/>
    <w:basedOn w:val="a"/>
    <w:link w:val="aa"/>
    <w:uiPriority w:val="34"/>
    <w:qFormat/>
    <w:rsid w:val="009D0FFA"/>
    <w:pPr>
      <w:ind w:left="720"/>
      <w:contextualSpacing/>
    </w:pPr>
  </w:style>
  <w:style w:type="character" w:styleId="ab">
    <w:name w:val="Intense Emphasis"/>
    <w:basedOn w:val="a0"/>
    <w:uiPriority w:val="21"/>
    <w:qFormat/>
    <w:rsid w:val="009D0FFA"/>
    <w:rPr>
      <w:i/>
      <w:iCs/>
      <w:color w:val="0F4761" w:themeColor="accent1" w:themeShade="BF"/>
    </w:rPr>
  </w:style>
  <w:style w:type="paragraph" w:styleId="ac">
    <w:name w:val="Intense Quote"/>
    <w:basedOn w:val="a"/>
    <w:next w:val="a"/>
    <w:link w:val="ad"/>
    <w:uiPriority w:val="30"/>
    <w:qFormat/>
    <w:rsid w:val="009D0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9D0FFA"/>
    <w:rPr>
      <w:i/>
      <w:iCs/>
      <w:color w:val="0F4761" w:themeColor="accent1" w:themeShade="BF"/>
    </w:rPr>
  </w:style>
  <w:style w:type="character" w:styleId="ae">
    <w:name w:val="Intense Reference"/>
    <w:basedOn w:val="a0"/>
    <w:uiPriority w:val="32"/>
    <w:qFormat/>
    <w:rsid w:val="009D0FFA"/>
    <w:rPr>
      <w:b/>
      <w:bCs/>
      <w:smallCaps/>
      <w:color w:val="0F4761" w:themeColor="accent1" w:themeShade="BF"/>
      <w:spacing w:val="5"/>
    </w:rPr>
  </w:style>
  <w:style w:type="character" w:customStyle="1" w:styleId="aa">
    <w:name w:val="列表段落 字符"/>
    <w:aliases w:val="123 List Paragraph 字符,3 字符,Bullets 字符,Citation List 字符,List Paragraph (numbered (a)) 字符,List Paragraph 1 字符,List Paragraph nowy 字符,List_Paragraph 字符,Liste 1 字符,Main numbered paragraph 字符,Number paragraph 字符,Numbered List Paragraph 字符,lp1 字符"/>
    <w:basedOn w:val="a0"/>
    <w:link w:val="a9"/>
    <w:uiPriority w:val="34"/>
    <w:qFormat/>
    <w:rsid w:val="009D0FFA"/>
  </w:style>
  <w:style w:type="character" w:styleId="af">
    <w:name w:val="footnote reference"/>
    <w:rsid w:val="00D27BFA"/>
    <w:rPr>
      <w:position w:val="6"/>
      <w:sz w:val="16"/>
    </w:rPr>
  </w:style>
  <w:style w:type="paragraph" w:styleId="af0">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a"/>
    <w:link w:val="af1"/>
    <w:unhideWhenUsed/>
    <w:rsid w:val="00D27BFA"/>
    <w:pPr>
      <w:spacing w:after="0" w:line="240" w:lineRule="auto"/>
    </w:pPr>
    <w:rPr>
      <w:kern w:val="0"/>
      <w:sz w:val="20"/>
      <w:szCs w:val="20"/>
      <w14:ligatures w14:val="none"/>
    </w:rPr>
  </w:style>
  <w:style w:type="character" w:customStyle="1" w:styleId="af1">
    <w:name w:val="脚注文本 字符"/>
    <w:aliases w:val="Текст сноски Знак Char Знак Знак 字符,Текст сноски Знак Знак 字符,Текст сноски Знак Char Char 字符,Текст сноски Знак Char 字符,Знак Знак 字符, Знак Знак 字符,single space 字符,footnote text 字符,fn 字符,FOOTNOTES 字符"/>
    <w:basedOn w:val="a0"/>
    <w:link w:val="af0"/>
    <w:rsid w:val="00D27BFA"/>
    <w:rPr>
      <w:kern w:val="0"/>
      <w:sz w:val="20"/>
      <w:szCs w:val="20"/>
      <w:lang w:eastAsia="en-US"/>
    </w:rPr>
  </w:style>
  <w:style w:type="table" w:styleId="af2">
    <w:name w:val="Table Grid"/>
    <w:basedOn w:val="a1"/>
    <w:uiPriority w:val="39"/>
    <w:rsid w:val="00D27BFA"/>
    <w:rPr>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text"/>
    <w:basedOn w:val="a"/>
    <w:link w:val="af4"/>
    <w:uiPriority w:val="99"/>
    <w:unhideWhenUsed/>
    <w:rsid w:val="00D27BFA"/>
    <w:pPr>
      <w:spacing w:after="0" w:line="240" w:lineRule="auto"/>
    </w:pPr>
    <w:rPr>
      <w:kern w:val="0"/>
      <w:sz w:val="20"/>
      <w:szCs w:val="20"/>
      <w14:ligatures w14:val="none"/>
    </w:rPr>
  </w:style>
  <w:style w:type="character" w:customStyle="1" w:styleId="af4">
    <w:name w:val="批注文字 字符"/>
    <w:basedOn w:val="a0"/>
    <w:link w:val="af3"/>
    <w:uiPriority w:val="99"/>
    <w:rsid w:val="00D27BFA"/>
    <w:rPr>
      <w:kern w:val="0"/>
      <w:sz w:val="20"/>
      <w:szCs w:val="20"/>
      <w:lang w:eastAsia="en-US"/>
    </w:rPr>
  </w:style>
  <w:style w:type="paragraph" w:customStyle="1" w:styleId="MainText">
    <w:name w:val="MainText"/>
    <w:basedOn w:val="a"/>
    <w:link w:val="MainTextChar"/>
    <w:rsid w:val="00D27BFA"/>
    <w:pPr>
      <w:spacing w:after="120" w:line="269" w:lineRule="auto"/>
    </w:pPr>
    <w:rPr>
      <w:rFonts w:ascii="Arial" w:eastAsia="Times New Roman" w:hAnsi="Arial" w:cs="Arial"/>
      <w:kern w:val="0"/>
      <w:sz w:val="20"/>
      <w:lang w:val="en-GB" w:eastAsia="zh-CN"/>
      <w14:ligatures w14:val="none"/>
    </w:rPr>
  </w:style>
  <w:style w:type="character" w:customStyle="1" w:styleId="MainTextChar">
    <w:name w:val="MainText Char"/>
    <w:link w:val="MainText"/>
    <w:rsid w:val="00D27BFA"/>
    <w:rPr>
      <w:rFonts w:ascii="Arial" w:eastAsia="Times New Roman" w:hAnsi="Arial" w:cs="Arial"/>
      <w:kern w:val="0"/>
      <w:sz w:val="20"/>
      <w:szCs w:val="22"/>
      <w:lang w:val="en-GB"/>
    </w:rPr>
  </w:style>
  <w:style w:type="paragraph" w:styleId="af5">
    <w:name w:val="footer"/>
    <w:basedOn w:val="a"/>
    <w:link w:val="af6"/>
    <w:uiPriority w:val="99"/>
    <w:unhideWhenUsed/>
    <w:rsid w:val="00CB1EE8"/>
    <w:pPr>
      <w:tabs>
        <w:tab w:val="center" w:pos="4153"/>
        <w:tab w:val="right" w:pos="8306"/>
      </w:tabs>
      <w:snapToGrid w:val="0"/>
      <w:spacing w:line="240" w:lineRule="auto"/>
    </w:pPr>
    <w:rPr>
      <w:sz w:val="18"/>
      <w:szCs w:val="18"/>
    </w:rPr>
  </w:style>
  <w:style w:type="character" w:customStyle="1" w:styleId="af6">
    <w:name w:val="页脚 字符"/>
    <w:basedOn w:val="a0"/>
    <w:link w:val="af5"/>
    <w:uiPriority w:val="99"/>
    <w:rsid w:val="00CB1EE8"/>
    <w:rPr>
      <w:sz w:val="18"/>
      <w:szCs w:val="18"/>
      <w:lang w:eastAsia="en-US"/>
      <w14:ligatures w14:val="standardContextual"/>
    </w:rPr>
  </w:style>
  <w:style w:type="character" w:styleId="af7">
    <w:name w:val="page number"/>
    <w:basedOn w:val="a0"/>
    <w:uiPriority w:val="99"/>
    <w:semiHidden/>
    <w:unhideWhenUsed/>
    <w:rsid w:val="00CB1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7F736-2E66-704C-B1E0-5C252DE5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2024-12-09T08:00:00Z</dcterms:created>
  <dcterms:modified xsi:type="dcterms:W3CDTF">2024-12-10T00:37:00Z</dcterms:modified>
</cp:coreProperties>
</file>