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76" w:lineRule="auto"/>
        <w:ind w:left="0" w:right="0" w:firstLine="0"/>
        <w:jc w:val="center"/>
        <w:outlineLvl w:val="0"/>
        <w:rPr>
          <w:rFonts w:ascii="方正小标宋简体" w:cs="方正小标宋简体" w:hAnsi="方正小标宋简体" w:eastAsia="方正小标宋简体"/>
          <w:b w:val="0"/>
          <w:bCs w:val="0"/>
          <w:i w:val="0"/>
          <w:iCs w:val="0"/>
          <w:caps w:val="0"/>
          <w:smallCaps w:val="0"/>
          <w:strike w:val="0"/>
          <w:dstrike w:val="0"/>
          <w:outline w:val="0"/>
          <w:color w:val="000000"/>
          <w:spacing w:val="0"/>
          <w:kern w:val="2"/>
          <w:position w:val="0"/>
          <w:sz w:val="30"/>
          <w:szCs w:val="30"/>
          <w:u w:val="none" w:color="000000"/>
          <w:vertAlign w:val="baseline"/>
          <w:rtl w:val="0"/>
          <w:lang w:val="zh-TW" w:eastAsia="zh-TW"/>
        </w:rPr>
      </w:pPr>
      <w:r>
        <w:rPr>
          <w:rFonts w:ascii="方正小标宋简体" w:cs="方正小标宋简体" w:hAnsi="方正小标宋简体" w:eastAsia="方正小标宋简体" w:hint="eastAsia"/>
          <w:b w:val="0"/>
          <w:bCs w:val="0"/>
          <w:i w:val="0"/>
          <w:iCs w:val="0"/>
          <w:caps w:val="0"/>
          <w:smallCaps w:val="0"/>
          <w:strike w:val="0"/>
          <w:dstrike w:val="0"/>
          <w:outline w:val="0"/>
          <w:color w:val="000000"/>
          <w:spacing w:val="0"/>
          <w:kern w:val="2"/>
          <w:position w:val="0"/>
          <w:sz w:val="30"/>
          <w:szCs w:val="30"/>
          <w:u w:val="none" w:color="000000"/>
          <w:vertAlign w:val="baseline"/>
          <w:rtl w:val="0"/>
          <w:lang w:val="zh-TW" w:eastAsia="zh-TW"/>
        </w:rPr>
        <w:t>粤港澳绿色大湾区建设典型技术与案例公示名单</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仿宋" w:cs="仿宋" w:hAnsi="仿宋" w:eastAsia="仿宋"/>
          <w:sz w:val="24"/>
          <w:szCs w:val="24"/>
          <w:u w:color="000000"/>
          <w:rtl w:val="0"/>
          <w:lang w:val="en-US"/>
        </w:rPr>
      </w:pPr>
    </w:p>
    <w:tbl>
      <w:tblPr>
        <w:tblW w:w="8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46"/>
        <w:gridCol w:w="3936"/>
        <w:gridCol w:w="3514"/>
      </w:tblGrid>
      <w:tr>
        <w:tblPrEx>
          <w:shd w:val="clear" w:color="auto" w:fill="d0ddef"/>
        </w:tblPrEx>
        <w:trPr>
          <w:trHeight w:val="35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方正小标宋_GBK" w:cs="方正小标宋_GBK" w:hAnsi="方正小标宋_GBK" w:eastAsia="方正小标宋_GBK" w:hint="eastAsia"/>
                <w:b w:val="1"/>
                <w:bCs w:val="1"/>
                <w:i w:val="0"/>
                <w:iCs w:val="0"/>
                <w:caps w:val="0"/>
                <w:smallCaps w:val="0"/>
                <w:strike w:val="0"/>
                <w:dstrike w:val="0"/>
                <w:outline w:val="0"/>
                <w:color w:val="000000"/>
                <w:spacing w:val="0"/>
                <w:kern w:val="0"/>
                <w:position w:val="0"/>
                <w:sz w:val="24"/>
                <w:szCs w:val="24"/>
                <w:u w:val="none" w:color="000000"/>
                <w:vertAlign w:val="baseline"/>
                <w:rtl w:val="0"/>
                <w:lang w:val="zh-TW" w:eastAsia="zh-TW"/>
              </w:rPr>
              <w:t>序号</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方正小标宋_GBK" w:cs="方正小标宋_GBK" w:hAnsi="方正小标宋_GBK" w:eastAsia="方正小标宋_GBK" w:hint="eastAsia"/>
                <w:b w:val="1"/>
                <w:bCs w:val="1"/>
                <w:i w:val="0"/>
                <w:iCs w:val="0"/>
                <w:caps w:val="0"/>
                <w:smallCaps w:val="0"/>
                <w:strike w:val="0"/>
                <w:dstrike w:val="0"/>
                <w:outline w:val="0"/>
                <w:color w:val="000000"/>
                <w:spacing w:val="0"/>
                <w:kern w:val="0"/>
                <w:position w:val="0"/>
                <w:sz w:val="24"/>
                <w:szCs w:val="24"/>
                <w:u w:val="none" w:color="000000"/>
                <w:vertAlign w:val="baseline"/>
                <w:rtl w:val="0"/>
                <w:lang w:val="zh-TW" w:eastAsia="zh-TW"/>
              </w:rPr>
              <w:t>案例名称</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方正小标宋_GBK" w:cs="方正小标宋_GBK" w:hAnsi="方正小标宋_GBK" w:eastAsia="方正小标宋_GBK" w:hint="eastAsia"/>
                <w:b w:val="1"/>
                <w:bCs w:val="1"/>
                <w:i w:val="0"/>
                <w:iCs w:val="0"/>
                <w:caps w:val="0"/>
                <w:smallCaps w:val="0"/>
                <w:strike w:val="0"/>
                <w:dstrike w:val="0"/>
                <w:outline w:val="0"/>
                <w:color w:val="000000"/>
                <w:spacing w:val="0"/>
                <w:kern w:val="0"/>
                <w:position w:val="0"/>
                <w:sz w:val="24"/>
                <w:szCs w:val="24"/>
                <w:u w:val="none" w:color="000000"/>
                <w:vertAlign w:val="baseline"/>
                <w:rtl w:val="0"/>
                <w:lang w:val="zh-TW" w:eastAsia="zh-TW"/>
              </w:rPr>
              <w:t>申报单位</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东莞市厚街镇黑水陂一体化污水</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应急处理服务项目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清研环境科技股份有限公司</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2</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凡口铅锌矿选矿废水净化回用处理项目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广东中金岭南环保工程</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有限公司</w:t>
            </w:r>
          </w:p>
        </w:tc>
      </w:tr>
      <w:tr>
        <w:tblPrEx>
          <w:shd w:val="clear" w:color="auto" w:fill="d0ddef"/>
        </w:tblPrEx>
        <w:trPr>
          <w:trHeight w:val="741"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3</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东莞市市政污泥高干脱水处理应用项目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广东省机械研究所有限公司</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小型污水处理厂组合式高负荷</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沉淀池</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广东首汇蓝天工程科技</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有限公司</w:t>
            </w:r>
          </w:p>
        </w:tc>
      </w:tr>
      <w:tr>
        <w:tblPrEx>
          <w:shd w:val="clear" w:color="auto" w:fill="d0ddef"/>
        </w:tblPrEx>
        <w:trPr>
          <w:trHeight w:val="1132"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 w:cs="仿宋" w:hAnsi="仿宋" w:eastAsia="仿宋"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金茂源（惠州）表面处理循环经济产业园减污降碳协同治理综合示范项目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金茂源环保集团（惠州）</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有限公司</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6</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污水处理厂磁悬浮风机节能改造</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协议能源管理项目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亿昇（天津）科技有限公司</w:t>
            </w:r>
          </w:p>
        </w:tc>
      </w:tr>
      <w:tr>
        <w:tblPrEx>
          <w:shd w:val="clear" w:color="auto" w:fill="d0ddef"/>
        </w:tblPrEx>
        <w:trPr>
          <w:trHeight w:val="90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7</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 w:cs="仿宋" w:hAnsi="仿宋" w:eastAsia="仿宋"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水体生态修复技术典型案例</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 w:cs="仿宋" w:hAnsi="仿宋" w:eastAsia="仿宋"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杨三村小微黑臭水体整治项目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广州市金龙峰环保设备工程</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股份有限公司</w:t>
            </w:r>
          </w:p>
        </w:tc>
      </w:tr>
      <w:tr>
        <w:tblPrEx>
          <w:shd w:val="clear" w:color="auto" w:fill="d0ddef"/>
        </w:tblPrEx>
        <w:trPr>
          <w:trHeight w:val="741"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8</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江门市新会区罗坑镇水质提升生态塘项目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广东大能环保科技有限公司</w:t>
            </w:r>
          </w:p>
        </w:tc>
      </w:tr>
      <w:tr>
        <w:tblPrEx>
          <w:shd w:val="clear" w:color="auto" w:fill="d0ddef"/>
        </w:tblPrEx>
        <w:trPr>
          <w:trHeight w:val="741"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大中型城市坚持绿色低碳理念，打造地埋式净水厂项目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广州市净水有限公司</w:t>
            </w:r>
          </w:p>
        </w:tc>
      </w:tr>
      <w:tr>
        <w:tblPrEx>
          <w:shd w:val="clear" w:color="auto" w:fill="d0ddef"/>
        </w:tblPrEx>
        <w:trPr>
          <w:trHeight w:val="1132"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绿色低碳的低温真空脱水干化一体化技术在广州大观净水厂污泥干化处理服务项目中的应用</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上海复洁环保科技股份有限</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公司</w:t>
            </w:r>
          </w:p>
        </w:tc>
      </w:tr>
      <w:tr>
        <w:tblPrEx>
          <w:shd w:val="clear" w:color="auto" w:fill="d0ddef"/>
        </w:tblPrEx>
        <w:trPr>
          <w:trHeight w:val="741"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东莞市大气污染精细化防治信息化支撑平台案例项目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广东中浦科技有限公司</w:t>
            </w:r>
          </w:p>
        </w:tc>
      </w:tr>
      <w:tr>
        <w:tblPrEx>
          <w:shd w:val="clear" w:color="auto" w:fill="d0ddef"/>
        </w:tblPrEx>
        <w:trPr>
          <w:trHeight w:val="90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UV LED</w:t>
            </w: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低能量紫外光固化环保</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涂料</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佛山阳光逸采涂料科技有限</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公司</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13</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烧结机环集废气高值资源化利用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关键技术及应用</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深圳市中金岭南有色金属股份有限公司韶关冶炼厂</w:t>
            </w:r>
          </w:p>
        </w:tc>
      </w:tr>
      <w:tr>
        <w:tblPrEx>
          <w:shd w:val="clear" w:color="auto" w:fill="d0ddef"/>
        </w:tblPrEx>
        <w:trPr>
          <w:trHeight w:val="1132"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14</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深圳市福田区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30</w:t>
            </w: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吨</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天厨余垃圾</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恶臭废气智能生物净化工程</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宇星科技发展（深圳）有限公司、深圳盈和环境物联科技有限公司</w:t>
            </w:r>
          </w:p>
        </w:tc>
      </w:tr>
      <w:tr>
        <w:tblPrEx>
          <w:shd w:val="clear" w:color="auto" w:fill="d0ddef"/>
        </w:tblPrEx>
        <w:trPr>
          <w:trHeight w:val="741"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15</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清远市清城区龙塘镇遗留电子废弃物重金属污染风险管控项目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生态环境部华南环境科学研究所、宝航环境修复有限公司</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16</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粤港澳大湾区典型电子废弃物绿色处置技术与应用项目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佛山市顺德鑫还宝资源利用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有限公司</w:t>
            </w:r>
          </w:p>
        </w:tc>
      </w:tr>
      <w:tr>
        <w:tblPrEx>
          <w:shd w:val="clear" w:color="auto" w:fill="d0ddef"/>
        </w:tblPrEx>
        <w:trPr>
          <w:trHeight w:val="1288"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17</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基于两网融合的城市废弃物资源化回收利用典型案例</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珠海格力绿色再生资源有限公司、珠海正圆生态环境有限</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公司</w:t>
            </w:r>
          </w:p>
        </w:tc>
      </w:tr>
      <w:tr>
        <w:tblPrEx>
          <w:shd w:val="clear" w:color="auto" w:fill="d0ddef"/>
        </w:tblPrEx>
        <w:trPr>
          <w:trHeight w:val="741"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18</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珠海三灶水质净化厂污泥源头减量及燃煤电厂协同焚烧利用技术</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江门绿润环保科技有限公司</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19</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碳达峰碳中和背景下福田中心区</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绿色出行环境提升改造试点方案</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深圳市城市交通规划设计研究中心股份有限公司</w:t>
            </w:r>
          </w:p>
        </w:tc>
      </w:tr>
      <w:tr>
        <w:tblPrEx>
          <w:shd w:val="clear" w:color="auto" w:fill="d0ddef"/>
        </w:tblPrEx>
        <w:trPr>
          <w:trHeight w:val="741"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20</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传统工业园区绿色智慧化转型升级之路探索与实践</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南雄境园环境服务有限公司</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21</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广州南沙经济技术开发区生态工业示范园区实现路径设计与评估</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生态环境部华南环境科学</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研究所</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22</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云桥</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登机桥综合管理系统</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广州白云空港设备技术发展</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有限公司</w:t>
            </w:r>
          </w:p>
        </w:tc>
      </w:tr>
      <w:tr>
        <w:tblPrEx>
          <w:shd w:val="clear" w:color="auto" w:fill="d0ddef"/>
        </w:tblPrEx>
        <w:trPr>
          <w:trHeight w:val="741"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23</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普宁金懋大酒店中央空调节能改造废热回收</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60-100</w:t>
            </w: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度热水工程项目</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珠海天然志富科技有限公司</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24</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基于电磁磁滞热效应高效蒸汽</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发生器</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广州三川控制系统工程设备</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有限公司</w:t>
            </w:r>
          </w:p>
        </w:tc>
      </w:tr>
      <w:tr>
        <w:tblPrEx>
          <w:shd w:val="clear" w:color="auto" w:fill="d0ddef"/>
        </w:tblPrEx>
        <w:trPr>
          <w:trHeight w:val="897"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s>
              <w:suppressAutoHyphens w:val="0"/>
              <w:bidi w:val="0"/>
              <w:spacing w:before="156"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25</w:t>
            </w:r>
          </w:p>
        </w:tc>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基于人工智能机房的高效建筑节能应用</w:t>
            </w:r>
          </w:p>
        </w:tc>
        <w:tc>
          <w:tcPr>
            <w:tcW w:type="dxa" w:w="3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广州三川控制系统工程设备</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s>
              <w:suppressAutoHyphens w:val="0"/>
              <w:bidi w:val="0"/>
              <w:spacing w:before="156" w:after="0" w:line="276" w:lineRule="auto"/>
              <w:ind w:left="0" w:right="0" w:firstLine="0"/>
              <w:jc w:val="center"/>
              <w:outlineLvl w:val="9"/>
              <w:rPr>
                <w:rtl w:val="0"/>
              </w:rPr>
            </w:pPr>
            <w:r>
              <w:rPr>
                <w:rFonts w:ascii="仿宋_GB2312" w:cs="仿宋_GB2312" w:hAnsi="仿宋_GB2312" w:eastAsia="仿宋_GB2312" w:hint="eastAsia"/>
                <w:b w:val="0"/>
                <w:bCs w:val="0"/>
                <w:i w:val="0"/>
                <w:iCs w:val="0"/>
                <w:caps w:val="0"/>
                <w:smallCaps w:val="0"/>
                <w:strike w:val="0"/>
                <w:dstrike w:val="0"/>
                <w:outline w:val="0"/>
                <w:color w:val="000000"/>
                <w:spacing w:val="0"/>
                <w:kern w:val="0"/>
                <w:position w:val="0"/>
                <w:sz w:val="24"/>
                <w:szCs w:val="24"/>
                <w:u w:val="none" w:color="000000"/>
                <w:vertAlign w:val="baseline"/>
                <w:rtl w:val="0"/>
                <w:lang w:val="zh-TW" w:eastAsia="zh-TW"/>
              </w:rPr>
              <w:t>有限公司</w:t>
            </w:r>
          </w:p>
        </w:tc>
      </w:tr>
    </w:tbl>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tl w:val="0"/>
        </w:rPr>
      </w:pPr>
      <w:r>
        <w:rPr>
          <w:rFonts w:ascii="仿宋" w:cs="仿宋" w:hAnsi="仿宋" w:eastAsia="仿宋"/>
          <w:sz w:val="24"/>
          <w:szCs w:val="24"/>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等线">
    <w:charset w:val="00"/>
    <w:family w:val="roman"/>
    <w:pitch w:val="default"/>
  </w:font>
  <w:font w:name="方正小标宋简体">
    <w:charset w:val="00"/>
    <w:family w:val="roman"/>
    <w:pitch w:val="default"/>
  </w:font>
  <w:font w:name="Helvetica">
    <w:charset w:val="00"/>
    <w:family w:val="roman"/>
    <w:pitch w:val="default"/>
  </w:font>
  <w:font w:name="仿宋">
    <w:charset w:val="00"/>
    <w:family w:val="roman"/>
    <w:pitch w:val="default"/>
  </w:font>
  <w:font w:name="方正小标宋_GBK">
    <w:charset w:val="00"/>
    <w:family w:val="roman"/>
    <w:pitch w:val="default"/>
  </w:font>
  <w:font w:name="仿宋_GB231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