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F3F8BB">
      <w:pPr>
        <w:widowControl/>
        <w:jc w:val="center"/>
        <w:outlineLvl w:val="0"/>
        <w:rPr>
          <w:rFonts w:ascii="Times New Roman" w:hAnsi="Times New Roman" w:eastAsia="方正小标宋简体" w:cs="Times New Roman"/>
          <w:bCs/>
          <w:sz w:val="30"/>
          <w:szCs w:val="30"/>
        </w:rPr>
      </w:pPr>
      <w:r>
        <w:rPr>
          <w:rFonts w:ascii="Times New Roman" w:hAnsi="Times New Roman" w:eastAsia="方正小标宋简体" w:cs="Times New Roman"/>
          <w:bCs/>
          <w:sz w:val="30"/>
          <w:szCs w:val="30"/>
        </w:rPr>
        <w:t>世界银行中国市场伙伴实施基金赠款项目（P504267）</w:t>
      </w:r>
    </w:p>
    <w:p w14:paraId="1199C8DF">
      <w:pPr>
        <w:widowControl/>
        <w:jc w:val="center"/>
        <w:outlineLvl w:val="0"/>
        <w:rPr>
          <w:rFonts w:ascii="Times New Roman" w:hAnsi="Times New Roman" w:eastAsia="方正小标宋简体" w:cs="Times New Roman"/>
          <w:bCs/>
          <w:sz w:val="30"/>
          <w:szCs w:val="30"/>
        </w:rPr>
      </w:pPr>
      <w:r>
        <w:rPr>
          <w:rFonts w:ascii="Times New Roman" w:hAnsi="Times New Roman" w:eastAsia="方正小标宋简体" w:cs="Times New Roman"/>
          <w:bCs/>
          <w:sz w:val="30"/>
          <w:szCs w:val="30"/>
        </w:rPr>
        <w:t>“认证体系下ETS核查机构管理体系研究”咨询服务</w:t>
      </w:r>
    </w:p>
    <w:p w14:paraId="53BBC98F">
      <w:pPr>
        <w:widowControl/>
        <w:jc w:val="center"/>
        <w:outlineLvl w:val="0"/>
        <w:rPr>
          <w:rFonts w:ascii="Times New Roman" w:hAnsi="Times New Roman" w:eastAsia="方正小标宋简体" w:cs="Times New Roman"/>
          <w:bCs/>
          <w:sz w:val="30"/>
          <w:szCs w:val="30"/>
        </w:rPr>
      </w:pPr>
      <w:r>
        <w:rPr>
          <w:rFonts w:ascii="Times New Roman" w:hAnsi="Times New Roman" w:eastAsia="方正小标宋简体" w:cs="Times New Roman"/>
          <w:bCs/>
          <w:sz w:val="30"/>
          <w:szCs w:val="30"/>
        </w:rPr>
        <w:t>工作任务大纲（PMI-</w:t>
      </w:r>
      <w:r>
        <w:rPr>
          <w:rFonts w:hint="eastAsia" w:ascii="Times New Roman" w:hAnsi="Times New Roman" w:eastAsia="方正小标宋简体" w:cs="Times New Roman"/>
          <w:bCs/>
          <w:sz w:val="30"/>
          <w:szCs w:val="30"/>
        </w:rPr>
        <w:t>23</w:t>
      </w:r>
      <w:r>
        <w:rPr>
          <w:rFonts w:ascii="Times New Roman" w:hAnsi="Times New Roman" w:eastAsia="方正小标宋简体" w:cs="Times New Roman"/>
          <w:bCs/>
          <w:sz w:val="30"/>
          <w:szCs w:val="30"/>
        </w:rPr>
        <w:t>-CQS）</w:t>
      </w:r>
    </w:p>
    <w:p w14:paraId="663055C7">
      <w:pPr>
        <w:rPr>
          <w:rFonts w:ascii="Times New Roman" w:hAnsi="Times New Roman" w:eastAsia="FangSong_GB2312" w:cs="Times New Roman"/>
          <w:sz w:val="28"/>
          <w:szCs w:val="28"/>
        </w:rPr>
      </w:pPr>
    </w:p>
    <w:p w14:paraId="6757A389">
      <w:pPr>
        <w:pStyle w:val="2"/>
        <w:numPr>
          <w:ilvl w:val="255"/>
          <w:numId w:val="0"/>
        </w:numPr>
        <w:rPr>
          <w:rFonts w:ascii="Times New Roman" w:hAnsi="Times New Roman" w:eastAsia="FangSong_GB2312" w:cs="Times New Roman"/>
          <w:b/>
          <w:bCs/>
          <w:sz w:val="28"/>
          <w:szCs w:val="28"/>
        </w:rPr>
      </w:pPr>
      <w:r>
        <w:rPr>
          <w:rFonts w:hint="eastAsia" w:ascii="Times New Roman" w:hAnsi="Times New Roman" w:eastAsia="FangSong_GB2312" w:cs="Times New Roman"/>
          <w:b/>
          <w:bCs/>
          <w:sz w:val="28"/>
          <w:szCs w:val="28"/>
        </w:rPr>
        <w:t>一、</w:t>
      </w:r>
      <w:r>
        <w:rPr>
          <w:rFonts w:ascii="Times New Roman" w:hAnsi="Times New Roman" w:eastAsia="FangSong_GB2312" w:cs="Times New Roman"/>
          <w:b/>
          <w:bCs/>
          <w:sz w:val="28"/>
          <w:szCs w:val="28"/>
        </w:rPr>
        <w:t>项目背景及意义</w:t>
      </w:r>
    </w:p>
    <w:p w14:paraId="28299C5B">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为推动中国碳排放权交易市场与温室气体自愿减排交易市场的稳定发展及持续完善，世界银行与生态环境部合作实施了“中国市场伙伴实施基金项目”。该项目旨在支持中国国家层面碳定价工具的设计、实施与管理能力提升，包括优化完善全国碳排放权交易市场（ETS）与国家核证自愿减排量（CCER）体系，助力其与《巴黎协定》第六条下的国际碳交易实现衔接兼容；同时，将分析引入碳税以补充ETS的可行性。生态环境部对外合作与交流中心（FECO）受委托作为项目管理办公室（PMO），负责统筹项目实施工作。</w:t>
      </w:r>
    </w:p>
    <w:p w14:paraId="293D52F6">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全国碳排放权交易市场自2021年启动以来，已从发电行业扩围至钢铁、水泥、铝冶炼行业，覆盖温室气体排放量显著扩大。第三方核查机构作为保障碳排放数据质量的关键主体，其管理体系的完善程度直接影响碳市场的公信力和运行效率。当前，核查机构管理在准入标准的细化、绩效评价体系的建立、利益冲突的有效管控以及退出机制的完善等方面仍存在制度短板，跨部门监管职责分工与协调机制有待进一步厘清，亟需依托认证认可体系，建立系统化、规范化的核查机构全流程管理制度。</w:t>
      </w:r>
    </w:p>
    <w:p w14:paraId="1120365D">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近年来，国家层面持续强化对碳核查机构的资质管理要求。2024年国务院颁布的《碳排放权交易管理暂行条例》（国令第775号）明确规定，接受委托编制年度排放报告、对年度排放报告进行技术审核的技术服务机构，应当按照国家有关规定，具备相应的设施设备、技术能力和技术人员，建立业务质量管理制度，独立、客观、公正开展相关业务。2025年，中共中央办公厅、国务院办公厅印发的《关于推进绿色低碳转型加强全国碳市场建设的意见》明确提出，对全国碳市场核查机构实施认证机构资质管理，要求明确核查机构准入条件、行为规范和退出机制。</w:t>
      </w:r>
    </w:p>
    <w:p w14:paraId="069ADE65">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在具体实施层面，国家认证认可监督管理委员会（CNCA）已依据《温室气体自愿减排交易管理办法（试行）》，开展温室气体自愿减排项目审定与减排量核查机构资质审批工作。中国合格评定国家认可委员会（CNAS）已建立温室气体审定与核查机构认可制度，认可结果已得到生态环境部等有关部门的采信。现需要依托中国现行认证认可法律法规体系和机构能力，从认证认可体系角度研究ETS核查机构准入管理、绩效评价和动态管理机制。这是落实国家政策文件要求、接轨国际通行做法的必然选择，也是保障全国碳市场数据质量的重要制度支撑。</w:t>
      </w:r>
    </w:p>
    <w:p w14:paraId="5BB2C0C9">
      <w:pPr>
        <w:pStyle w:val="2"/>
        <w:numPr>
          <w:ilvl w:val="255"/>
          <w:numId w:val="0"/>
        </w:numPr>
        <w:rPr>
          <w:rFonts w:ascii="Times New Roman" w:hAnsi="Times New Roman" w:eastAsia="FangSong_GB2312" w:cs="Times New Roman"/>
          <w:b/>
          <w:bCs/>
          <w:sz w:val="28"/>
          <w:szCs w:val="28"/>
        </w:rPr>
      </w:pPr>
      <w:r>
        <w:rPr>
          <w:rFonts w:hint="eastAsia" w:ascii="Times New Roman" w:hAnsi="Times New Roman" w:eastAsia="FangSong_GB2312" w:cs="Times New Roman"/>
          <w:b/>
          <w:bCs/>
          <w:sz w:val="28"/>
          <w:szCs w:val="28"/>
        </w:rPr>
        <w:t>二、咨询服务目标</w:t>
      </w:r>
    </w:p>
    <w:p w14:paraId="739ABA81">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 xml:space="preserve"> 本分包任务旨在从认证认可体系的角度，研究建立全国碳排放权交易市场第三方核查机构的准入管理、绩效评价和动态管理机制，建立全国范围内核查机构的筛选与准入规程，为ETS第三方核查机构的规范化管理提供制度保障。</w:t>
      </w:r>
    </w:p>
    <w:p w14:paraId="11F1DEC0">
      <w:pPr>
        <w:pStyle w:val="2"/>
        <w:numPr>
          <w:ilvl w:val="255"/>
          <w:numId w:val="0"/>
        </w:numPr>
        <w:rPr>
          <w:rFonts w:ascii="Times New Roman" w:hAnsi="Times New Roman" w:eastAsia="FangSong_GB2312" w:cs="Times New Roman"/>
          <w:b/>
          <w:bCs/>
          <w:sz w:val="28"/>
          <w:szCs w:val="28"/>
        </w:rPr>
      </w:pPr>
      <w:r>
        <w:rPr>
          <w:rFonts w:hint="eastAsia" w:ascii="Times New Roman" w:hAnsi="Times New Roman" w:eastAsia="FangSong_GB2312" w:cs="Times New Roman"/>
          <w:b/>
          <w:bCs/>
          <w:sz w:val="28"/>
          <w:szCs w:val="28"/>
        </w:rPr>
        <w:t>三、工作内容及要求</w:t>
      </w:r>
    </w:p>
    <w:p w14:paraId="06FB3735">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3.1 总体工作范围</w:t>
      </w:r>
    </w:p>
    <w:p w14:paraId="6E819C5B">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本分包任务将系统梳理国际主要碳市场核查机构认证管理的实践经验，评估中国现行认证认可体系下核查机构管理的现状，借鉴国际经验实践，设计核查机构的准入条件、审核程序、认证流程，建立核查工作质量评价指标体系、利益冲突评估机制、绩效评价实施程序和退出机制。</w:t>
      </w:r>
    </w:p>
    <w:p w14:paraId="7D58406C">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在PMO总体协调下，本分包任务需与PMI-4</w:t>
      </w:r>
      <w:r>
        <w:rPr>
          <w:rFonts w:hint="eastAsia" w:ascii="Times New Roman" w:hAnsi="Times New Roman" w:eastAsia="仿宋_GB2312" w:cs="Times New Roman"/>
          <w:sz w:val="28"/>
          <w:szCs w:val="28"/>
          <w:vertAlign w:val="superscript"/>
        </w:rPr>
        <w:footnoteReference w:id="0"/>
      </w:r>
      <w:r>
        <w:rPr>
          <w:rFonts w:hint="eastAsia" w:ascii="Times New Roman" w:hAnsi="Times New Roman" w:eastAsia="仿宋_GB2312" w:cs="Times New Roman"/>
          <w:sz w:val="28"/>
          <w:szCs w:val="28"/>
        </w:rPr>
        <w:t>，PMI-25</w:t>
      </w:r>
      <w:bookmarkStart w:id="0" w:name="_GoBack"/>
      <w:r>
        <w:rPr>
          <w:rFonts w:hint="eastAsia" w:ascii="Times New Roman" w:hAnsi="Times New Roman" w:eastAsia="仿宋_GB2312" w:cs="Times New Roman"/>
          <w:sz w:val="28"/>
          <w:szCs w:val="28"/>
          <w:vertAlign w:val="superscript"/>
        </w:rPr>
        <w:footnoteReference w:id="1"/>
      </w:r>
      <w:bookmarkEnd w:id="0"/>
      <w:r>
        <w:rPr>
          <w:rFonts w:hint="eastAsia" w:ascii="Times New Roman" w:hAnsi="Times New Roman" w:eastAsia="仿宋_GB2312" w:cs="Times New Roman"/>
          <w:sz w:val="28"/>
          <w:szCs w:val="28"/>
        </w:rPr>
        <w:t>等其他分包任务承担单位保持技术协作与信息共享，确保研究的系统性与一致性。</w:t>
      </w:r>
    </w:p>
    <w:p w14:paraId="3DAC68B2">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3.2 任务要求描述</w:t>
      </w:r>
    </w:p>
    <w:p w14:paraId="46DEB4CA">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3.2.1 认证体系下核查机构准入管理制度研究</w:t>
      </w:r>
    </w:p>
    <w:p w14:paraId="6B85A620">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本项任务旨在从认证认可体系的角度，研究建立全国ETS第三方核查机构的准入管理制度。内容包括但不限于：</w:t>
      </w:r>
    </w:p>
    <w:p w14:paraId="1A9B0A92">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a. 国际经验对比分析：系统</w:t>
      </w:r>
      <w:r>
        <w:rPr>
          <w:rFonts w:hint="eastAsia" w:ascii="Times New Roman" w:hAnsi="Times New Roman" w:eastAsia="仿宋_GB2312" w:cs="Times New Roman"/>
          <w:sz w:val="28"/>
          <w:szCs w:val="28"/>
          <w:lang w:eastAsia="zh-CN"/>
        </w:rPr>
        <w:t>全面</w:t>
      </w:r>
      <w:r>
        <w:rPr>
          <w:rFonts w:hint="eastAsia" w:ascii="Times New Roman" w:hAnsi="Times New Roman" w:eastAsia="仿宋_GB2312" w:cs="Times New Roman"/>
          <w:sz w:val="28"/>
          <w:szCs w:val="28"/>
        </w:rPr>
        <w:t>梳理</w:t>
      </w:r>
      <w:r>
        <w:rPr>
          <w:rFonts w:hint="eastAsia" w:ascii="Times New Roman" w:hAnsi="Times New Roman" w:eastAsia="仿宋_GB2312" w:cs="Times New Roman"/>
          <w:sz w:val="28"/>
          <w:szCs w:val="28"/>
          <w:lang w:eastAsia="zh-CN"/>
        </w:rPr>
        <w:t>全球</w:t>
      </w:r>
      <w:r>
        <w:rPr>
          <w:rFonts w:hint="eastAsia" w:ascii="Times New Roman" w:hAnsi="Times New Roman" w:eastAsia="仿宋_GB2312" w:cs="Times New Roman"/>
          <w:sz w:val="28"/>
          <w:szCs w:val="28"/>
          <w:lang w:val="en-US" w:eastAsia="zh-CN"/>
        </w:rPr>
        <w:t>的</w:t>
      </w:r>
      <w:r>
        <w:rPr>
          <w:rFonts w:hint="eastAsia" w:ascii="Times New Roman" w:hAnsi="Times New Roman" w:eastAsia="仿宋_GB2312" w:cs="Times New Roman"/>
          <w:sz w:val="28"/>
          <w:szCs w:val="28"/>
        </w:rPr>
        <w:t>碳市场对第三方核查机构的认证管理体系和准入制度，包括国家或地区认可机构的角色定位、核查机构资质认定程序、人员能力要求（包含培训要求）、认证标准及定期复评机制。比较国内外认证管理体系的异同，识别可借鉴的国际最佳实践，分析其对中国碳市场核查机构管理的适用性。</w:t>
      </w:r>
    </w:p>
    <w:p w14:paraId="6DBBC3D9">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b. 国内认证认可体系现状评估：梳理中国现行认证认可法律法规框架下，与碳排放核查相关的合格评定制度现状，包括CNCA对认证机构的监管职责、CNAS的认可制度及其与生态环境</w:t>
      </w:r>
      <w:r>
        <w:rPr>
          <w:rFonts w:hint="eastAsia" w:ascii="Times New Roman" w:hAnsi="Times New Roman" w:eastAsia="仿宋_GB2312" w:cs="Times New Roman"/>
          <w:sz w:val="28"/>
          <w:szCs w:val="28"/>
          <w:lang w:eastAsia="zh-CN"/>
        </w:rPr>
        <w:t>主管部门（包括国家</w:t>
      </w:r>
      <w:r>
        <w:rPr>
          <w:rFonts w:hint="eastAsia" w:ascii="Times New Roman" w:hAnsi="Times New Roman" w:eastAsia="仿宋_GB2312" w:cs="Times New Roman"/>
          <w:sz w:val="28"/>
          <w:szCs w:val="28"/>
          <w:lang w:val="en-US" w:eastAsia="zh-CN"/>
        </w:rPr>
        <w:t>-</w:t>
      </w:r>
      <w:r>
        <w:rPr>
          <w:rFonts w:hint="eastAsia" w:ascii="Times New Roman" w:hAnsi="Times New Roman" w:eastAsia="仿宋_GB2312" w:cs="Times New Roman"/>
          <w:sz w:val="28"/>
          <w:szCs w:val="28"/>
          <w:lang w:eastAsia="zh-CN"/>
        </w:rPr>
        <w:t>省</w:t>
      </w:r>
      <w:r>
        <w:rPr>
          <w:rFonts w:hint="eastAsia" w:ascii="Times New Roman" w:hAnsi="Times New Roman" w:eastAsia="仿宋_GB2312" w:cs="Times New Roman"/>
          <w:sz w:val="28"/>
          <w:szCs w:val="28"/>
          <w:lang w:val="en-US" w:eastAsia="zh-CN"/>
        </w:rPr>
        <w:t>-</w:t>
      </w:r>
      <w:r>
        <w:rPr>
          <w:rFonts w:hint="eastAsia" w:ascii="Times New Roman" w:hAnsi="Times New Roman" w:eastAsia="仿宋_GB2312" w:cs="Times New Roman"/>
          <w:sz w:val="28"/>
          <w:szCs w:val="28"/>
          <w:lang w:eastAsia="zh-CN"/>
        </w:rPr>
        <w:t>市三级体系）在认证认可体系下的</w:t>
      </w:r>
      <w:r>
        <w:rPr>
          <w:rFonts w:hint="eastAsia" w:ascii="Times New Roman" w:hAnsi="Times New Roman" w:eastAsia="仿宋_GB2312" w:cs="Times New Roman"/>
          <w:sz w:val="28"/>
          <w:szCs w:val="28"/>
        </w:rPr>
        <w:t>监管职责衔接关系、现行核查机构的市场准入条件及资质管理方式。评估现行制度在支撑全国碳市场核查工作质量方面的实际表现，识别其在覆盖范围、操作衔接及动态管理等方面存在的薄弱环节，分析跨部门监管协调机制中的障碍与衔接缺口。</w:t>
      </w:r>
    </w:p>
    <w:p w14:paraId="116CBEF3">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c. 核查机构准入条件设计：结合来可适用的国际最佳实践和识别的国内认证认可体系的缺口，研究设计ETS第三方核查机构的准入条件框架，包括但不限于：机构法人资格要求、碳排放核查领域的专业能力要求、技术人员的资格条件及相关</w:t>
      </w:r>
      <w:r>
        <w:rPr>
          <w:rFonts w:hint="default" w:ascii="Times New Roman" w:hAnsi="Times New Roman" w:eastAsia="仿宋_GB2312" w:cs="Times New Roman"/>
          <w:sz w:val="28"/>
          <w:szCs w:val="28"/>
        </w:rPr>
        <w:t>培训要求</w:t>
      </w:r>
      <w:r>
        <w:rPr>
          <w:rFonts w:hint="eastAsia" w:ascii="Times New Roman" w:hAnsi="Times New Roman" w:eastAsia="仿宋_GB2312" w:cs="Times New Roman"/>
          <w:sz w:val="28"/>
          <w:szCs w:val="28"/>
        </w:rPr>
        <w:t>、利益冲突管理制度、数据保密与信息安全能力要求、职业责任保险要求</w:t>
      </w:r>
      <w:r>
        <w:rPr>
          <w:rFonts w:hint="eastAsia" w:ascii="Times New Roman" w:hAnsi="Times New Roman" w:eastAsia="仿宋_GB2312" w:cs="Times New Roman"/>
          <w:sz w:val="28"/>
          <w:szCs w:val="28"/>
          <w:lang w:eastAsia="zh-CN"/>
        </w:rPr>
        <w:t>、稳定的财务支持要求</w:t>
      </w:r>
      <w:r>
        <w:rPr>
          <w:rFonts w:hint="eastAsia" w:ascii="Times New Roman" w:hAnsi="Times New Roman" w:eastAsia="仿宋_GB2312" w:cs="Times New Roman"/>
          <w:sz w:val="28"/>
          <w:szCs w:val="28"/>
        </w:rPr>
        <w:t>。提出分级分类管理的准入标准建议，区分不同行业的专业能力要求差异。</w:t>
      </w:r>
    </w:p>
    <w:p w14:paraId="49FFA8DC">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d. 准入审核程序与认证流程设计：研究设计ETS第三方核查机构准入的审核程序，包括申请材料要求、文件评审、现场评审、技术能力考核、批准决定、信息公开等环节。明确审核机构的职责分工和协调机制。设计认证后的监督复评机制和认证有效期管理规则。结合CNAS认可规则，研究建立核查机构对认可决定申诉处理制度，以及认可资格的暂停、恢复、撤销与注销等动态管理规则，形成完整的认可监督闭环。</w:t>
      </w:r>
    </w:p>
    <w:p w14:paraId="52392137">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3.2.2 核查机构绩效评价与动态管理机制研究</w:t>
      </w:r>
    </w:p>
    <w:p w14:paraId="4E6D6000">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本项任务旨在建立核查机构的绩效评价体系和动态管理机制，确保核查工作质量的持续改进。内容包括但不限于：</w:t>
      </w:r>
    </w:p>
    <w:p w14:paraId="0DDEA563">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a. 核查工作质量评价指标体系构建：研究设计核查机构绩效评价的指标体系，包括定量指标（如核查报告质量评分、核查时限符合率、数据修正率、企业满意度、投诉率等）和定性指标（如技术能力、人员稳定性、管理制度执行情况、整改完成情况等）。参考国际碳市场核查机构评价的通行做法（如欧盟ETS核查机构年度评估机制），结合中国碳市场实际情况进行本地化调整。研究各项指标的权重设置、评分标准和数据来源。</w:t>
      </w:r>
    </w:p>
    <w:p w14:paraId="3D91477F">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b. 利益冲突评估与合规管理机制：研究核查机构可能面临的利益冲突情形（如与被核查企业存在咨询业务关系、股权关联、人员交叉、财务依赖等），设计核查前利益冲突的识别、申报、评估和处置机制。研究建立利益冲突信息数据库，设计利益冲突申报的流程和要求。研究制定核查机构行为准则和职业道德规范，明确禁止的行为（如与被核查企业存在不正当经济利益、泄露企业商业秘密、出具虚假报告等）和违规后果。研究建立投诉举报处理机制和核查机构信用记录管理制度。</w:t>
      </w:r>
    </w:p>
    <w:p w14:paraId="3C540735">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c. 绩效评价实施程序与退出机制设计：研究设计核查机构绩效评价的实施程序，包括评价周期、评价主体、评价方法、评价结果分级。研究设计基于绩效评价结果的分级管理措施，包括激励措施和惩戒措施。研究设计核查机构的退出机制和过渡期安排，包括资格撤销的条件、程序、已承接核查业务的交接安排、企业权益保护措施。</w:t>
      </w:r>
    </w:p>
    <w:p w14:paraId="387C0D7F">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四、预计交付成果</w:t>
      </w:r>
    </w:p>
    <w:p w14:paraId="0A1E9B47">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本分包合同的交付成果包括：</w:t>
      </w:r>
    </w:p>
    <w:p w14:paraId="43C8C31A">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4.1 《认证体系下ETS第三方核查机构准入管理制度研究报告》</w:t>
      </w:r>
    </w:p>
    <w:p w14:paraId="4A1CF125">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4.2 《ETS第三方核查机构绩效评价与动态管理机制研究报告》</w:t>
      </w:r>
    </w:p>
    <w:p w14:paraId="6A0D7F70">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4.3 《ETS第三方核查机构管理规程建议稿》</w:t>
      </w:r>
    </w:p>
    <w:p w14:paraId="55BDD702">
      <w:pPr>
        <w:spacing w:before="156" w:beforeLines="50" w:after="156" w:afterLines="50"/>
        <w:ind w:firstLine="560" w:firstLineChars="200"/>
        <w:rPr>
          <w:rFonts w:hint="eastAsia" w:ascii="Times New Roman" w:hAnsi="Times New Roman" w:eastAsia="仿宋_GB2312" w:cs="Times New Roman"/>
          <w:sz w:val="28"/>
          <w:szCs w:val="28"/>
        </w:rPr>
      </w:pPr>
      <w:r>
        <w:rPr>
          <w:rFonts w:hint="default" w:ascii="Times New Roman" w:hAnsi="Times New Roman" w:eastAsia="仿宋_GB2312" w:cs="Times New Roman"/>
          <w:sz w:val="28"/>
          <w:szCs w:val="28"/>
        </w:rPr>
        <w:t>其中，4.3的成稿是基于4.1与4.2的分析结果，需</w:t>
      </w:r>
      <w:r>
        <w:rPr>
          <w:rFonts w:hint="eastAsia" w:ascii="Times New Roman" w:hAnsi="Times New Roman" w:eastAsia="仿宋_GB2312" w:cs="Times New Roman"/>
          <w:sz w:val="28"/>
          <w:szCs w:val="28"/>
        </w:rPr>
        <w:t>包括总则、准入条件与认证程序、绩效评价与分级管理、利益冲突与合规管理、监督管理与法律责任、附则等内容。</w:t>
      </w:r>
    </w:p>
    <w:p w14:paraId="2036B154">
      <w:pPr>
        <w:spacing w:before="156" w:beforeLines="50" w:after="156" w:afterLines="50"/>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本分包合同所有交付成果应与相关利益方进行磋商，并</w:t>
      </w:r>
      <w:r>
        <w:rPr>
          <w:rFonts w:hint="eastAsia" w:ascii="Times New Roman" w:hAnsi="Times New Roman" w:eastAsia="仿宋_GB2312" w:cs="Times New Roman"/>
          <w:sz w:val="28"/>
          <w:szCs w:val="28"/>
          <w:lang w:val="en-US" w:eastAsia="zh-CN"/>
        </w:rPr>
        <w:t>按照PMO提供的环境与社会相关工具包</w:t>
      </w:r>
      <w:r>
        <w:rPr>
          <w:rFonts w:hint="default" w:ascii="Times New Roman" w:hAnsi="Times New Roman" w:eastAsia="仿宋_GB2312" w:cs="Times New Roman"/>
          <w:sz w:val="28"/>
          <w:szCs w:val="28"/>
          <w:lang w:val="en-US" w:eastAsia="zh-CN"/>
        </w:rPr>
        <w:t>形成磋商纪要</w:t>
      </w:r>
      <w:r>
        <w:rPr>
          <w:rFonts w:hint="eastAsia" w:ascii="Times New Roman" w:hAnsi="Times New Roman" w:eastAsia="仿宋_GB2312" w:cs="Times New Roman"/>
          <w:sz w:val="28"/>
          <w:szCs w:val="28"/>
          <w:lang w:val="en-US" w:eastAsia="zh-CN"/>
        </w:rPr>
        <w:t>（至少包括人员、内容及照片）、意见反馈及采纳情况，并按要求提交进展报告</w:t>
      </w:r>
      <w:r>
        <w:rPr>
          <w:rFonts w:hint="default" w:ascii="Times New Roman" w:hAnsi="Times New Roman" w:eastAsia="仿宋_GB2312" w:cs="Times New Roman"/>
          <w:sz w:val="28"/>
          <w:szCs w:val="28"/>
          <w:lang w:val="en-US" w:eastAsia="zh-CN"/>
        </w:rPr>
        <w:t>。</w:t>
      </w:r>
    </w:p>
    <w:p w14:paraId="764F46ED">
      <w:pPr>
        <w:widowControl/>
        <w:overflowPunct/>
        <w:autoSpaceDE/>
        <w:autoSpaceDN/>
        <w:adjustRightInd/>
        <w:spacing w:before="156" w:beforeLines="50" w:after="156" w:afterLines="50" w:line="240" w:lineRule="auto"/>
        <w:ind w:firstLine="560" w:firstLineChars="200"/>
        <w:textAlignment w:val="auto"/>
        <w:outlineLvl w:val="9"/>
        <w:rPr>
          <w:rFonts w:ascii="Times New Roman" w:hAnsi="Times New Roman" w:eastAsia="仿宋" w:cs="Times New Roman"/>
          <w:sz w:val="28"/>
          <w:szCs w:val="28"/>
        </w:rPr>
      </w:pPr>
      <w:r>
        <w:rPr>
          <w:rFonts w:hint="eastAsia" w:ascii="Times New Roman" w:hAnsi="Times New Roman" w:eastAsia="仿宋" w:cs="Times New Roman"/>
          <w:color w:val="000000" w:themeColor="text1"/>
          <w:sz w:val="28"/>
          <w:szCs w:val="28"/>
          <w14:textFill>
            <w14:solidFill>
              <w14:schemeClr w14:val="tx1"/>
            </w14:solidFill>
          </w14:textFill>
        </w:rPr>
        <w:t>本分包合同所有</w:t>
      </w:r>
      <w:r>
        <w:rPr>
          <w:rFonts w:ascii="Times New Roman" w:hAnsi="Times New Roman" w:eastAsia="仿宋" w:cs="Times New Roman"/>
          <w:color w:val="000000" w:themeColor="text1"/>
          <w:sz w:val="28"/>
          <w:szCs w:val="28"/>
          <w14:textFill>
            <w14:solidFill>
              <w14:schemeClr w14:val="tx1"/>
            </w14:solidFill>
          </w14:textFill>
        </w:rPr>
        <w:t>交付成果</w:t>
      </w:r>
      <w:r>
        <w:rPr>
          <w:rFonts w:hint="eastAsia" w:ascii="Times New Roman" w:hAnsi="Times New Roman" w:eastAsia="仿宋" w:cs="Times New Roman"/>
          <w:sz w:val="28"/>
          <w:szCs w:val="28"/>
        </w:rPr>
        <w:t>均须以中英文双语形式提交，如表述出现不一致或矛盾，以中文为准。</w:t>
      </w:r>
    </w:p>
    <w:p w14:paraId="6A2C08D7">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本</w:t>
      </w:r>
      <w:r>
        <w:rPr>
          <w:rFonts w:hint="eastAsia" w:ascii="Times New Roman" w:hAnsi="Times New Roman" w:eastAsia="仿宋" w:cs="Times New Roman"/>
          <w:color w:val="000000" w:themeColor="text1"/>
          <w:sz w:val="28"/>
          <w:szCs w:val="28"/>
          <w14:textFill>
            <w14:solidFill>
              <w14:schemeClr w14:val="tx1"/>
            </w14:solidFill>
          </w14:textFill>
        </w:rPr>
        <w:t>分包</w:t>
      </w:r>
      <w:r>
        <w:rPr>
          <w:rFonts w:ascii="Times New Roman" w:hAnsi="Times New Roman" w:eastAsia="仿宋" w:cs="Times New Roman"/>
          <w:color w:val="000000" w:themeColor="text1"/>
          <w:sz w:val="28"/>
          <w:szCs w:val="28"/>
          <w14:textFill>
            <w14:solidFill>
              <w14:schemeClr w14:val="tx1"/>
            </w14:solidFill>
          </w14:textFill>
        </w:rPr>
        <w:t>合同的交付成果将为实现以下</w:t>
      </w:r>
      <w:r>
        <w:rPr>
          <w:rFonts w:hint="eastAsia" w:ascii="Times New Roman" w:hAnsi="Times New Roman" w:eastAsia="仿宋" w:cs="Times New Roman"/>
          <w:color w:val="000000" w:themeColor="text1"/>
          <w:sz w:val="28"/>
          <w:szCs w:val="28"/>
          <w14:textFill>
            <w14:solidFill>
              <w14:schemeClr w14:val="tx1"/>
            </w14:solidFill>
          </w14:textFill>
        </w:rPr>
        <w:t>项目文件</w:t>
      </w:r>
      <w:r>
        <w:rPr>
          <w:rStyle w:val="16"/>
          <w:rFonts w:hint="eastAsia" w:ascii="Times New Roman" w:hAnsi="Times New Roman" w:eastAsia="仿宋" w:cs="Times New Roman"/>
          <w:color w:val="000000" w:themeColor="text1"/>
          <w:sz w:val="28"/>
          <w:szCs w:val="28"/>
          <w14:textFill>
            <w14:solidFill>
              <w14:schemeClr w14:val="tx1"/>
            </w14:solidFill>
          </w14:textFill>
        </w:rPr>
        <w:footnoteReference w:id="2"/>
      </w:r>
      <w:r>
        <w:rPr>
          <w:rFonts w:hint="eastAsia" w:ascii="Times New Roman" w:hAnsi="Times New Roman" w:eastAsia="仿宋" w:cs="Times New Roman"/>
          <w:color w:val="000000" w:themeColor="text1"/>
          <w:sz w:val="28"/>
          <w:szCs w:val="28"/>
          <w14:textFill>
            <w14:solidFill>
              <w14:schemeClr w14:val="tx1"/>
            </w14:solidFill>
          </w14:textFill>
        </w:rPr>
        <w:t>中的项目开发目标（PDO）</w:t>
      </w:r>
      <w:r>
        <w:rPr>
          <w:rFonts w:ascii="Times New Roman" w:hAnsi="Times New Roman" w:eastAsia="仿宋" w:cs="Times New Roman"/>
          <w:color w:val="000000" w:themeColor="text1"/>
          <w:sz w:val="28"/>
          <w:szCs w:val="28"/>
          <w14:textFill>
            <w14:solidFill>
              <w14:schemeClr w14:val="tx1"/>
            </w14:solidFill>
          </w14:textFill>
        </w:rPr>
        <w:t>及中期指标作出贡献</w:t>
      </w:r>
      <w:r>
        <w:rPr>
          <w:rFonts w:hint="eastAsia" w:ascii="Times New Roman" w:hAnsi="Times New Roman" w:eastAsia="仿宋" w:cs="Times New Roman"/>
          <w:color w:val="000000" w:themeColor="text1"/>
          <w:sz w:val="28"/>
          <w:szCs w:val="28"/>
          <w14:textFill>
            <w14:solidFill>
              <w14:schemeClr w14:val="tx1"/>
            </w14:solidFill>
          </w14:textFill>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70"/>
        <w:gridCol w:w="5063"/>
        <w:gridCol w:w="1789"/>
      </w:tblGrid>
      <w:tr w14:paraId="1E17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blHeader/>
        </w:trPr>
        <w:tc>
          <w:tcPr>
            <w:tcW w:w="0" w:type="auto"/>
            <w:tcMar>
              <w:left w:w="108" w:type="dxa"/>
              <w:right w:w="108" w:type="dxa"/>
            </w:tcMar>
            <w:vAlign w:val="center"/>
          </w:tcPr>
          <w:p w14:paraId="29B7130C">
            <w:pPr>
              <w:jc w:val="center"/>
              <w:rPr>
                <w:rFonts w:ascii="Times New Roman" w:hAnsi="Times New Roman" w:eastAsia="宋体" w:cs="Times New Roman"/>
                <w:b/>
                <w:sz w:val="24"/>
              </w:rPr>
            </w:pPr>
            <w:r>
              <w:rPr>
                <w:rFonts w:ascii="Times New Roman" w:hAnsi="Times New Roman" w:eastAsia="宋体" w:cs="Times New Roman"/>
                <w:b/>
                <w:sz w:val="24"/>
              </w:rPr>
              <w:t>预期交付成果</w:t>
            </w:r>
          </w:p>
        </w:tc>
        <w:tc>
          <w:tcPr>
            <w:tcW w:w="5063" w:type="dxa"/>
            <w:tcMar>
              <w:left w:w="108" w:type="dxa"/>
              <w:right w:w="108" w:type="dxa"/>
            </w:tcMar>
            <w:vAlign w:val="center"/>
          </w:tcPr>
          <w:p w14:paraId="6F627A04">
            <w:pPr>
              <w:jc w:val="center"/>
              <w:rPr>
                <w:rFonts w:ascii="Times New Roman" w:hAnsi="Times New Roman" w:eastAsia="宋体" w:cs="Times New Roman"/>
                <w:b/>
                <w:sz w:val="24"/>
              </w:rPr>
            </w:pPr>
            <w:r>
              <w:rPr>
                <w:rFonts w:ascii="Times New Roman" w:hAnsi="Times New Roman" w:eastAsia="宋体" w:cs="Times New Roman"/>
                <w:b/>
                <w:sz w:val="24"/>
              </w:rPr>
              <w:t>指标</w:t>
            </w:r>
          </w:p>
        </w:tc>
        <w:tc>
          <w:tcPr>
            <w:tcW w:w="1789" w:type="dxa"/>
            <w:tcMar>
              <w:left w:w="108" w:type="dxa"/>
              <w:right w:w="108" w:type="dxa"/>
            </w:tcMar>
            <w:vAlign w:val="center"/>
          </w:tcPr>
          <w:p w14:paraId="2FEFD04F">
            <w:pPr>
              <w:jc w:val="center"/>
              <w:rPr>
                <w:rFonts w:ascii="Times New Roman" w:hAnsi="Times New Roman" w:eastAsia="宋体" w:cs="Times New Roman"/>
                <w:b/>
                <w:sz w:val="24"/>
              </w:rPr>
            </w:pPr>
            <w:r>
              <w:rPr>
                <w:rFonts w:ascii="Times New Roman" w:hAnsi="Times New Roman" w:eastAsia="宋体" w:cs="Times New Roman"/>
                <w:b/>
                <w:sz w:val="24"/>
              </w:rPr>
              <w:t>贡献类型</w:t>
            </w:r>
          </w:p>
        </w:tc>
      </w:tr>
      <w:tr w14:paraId="172FA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trPr>
        <w:tc>
          <w:tcPr>
            <w:tcW w:w="1670" w:type="dxa"/>
            <w:tcMar>
              <w:left w:w="108" w:type="dxa"/>
              <w:right w:w="108" w:type="dxa"/>
            </w:tcMar>
            <w:vAlign w:val="center"/>
          </w:tcPr>
          <w:p w14:paraId="7A28616D">
            <w:pPr>
              <w:jc w:val="center"/>
              <w:rPr>
                <w:rFonts w:ascii="Times New Roman" w:hAnsi="Times New Roman" w:eastAsia="仿宋" w:cs="Times New Roman"/>
                <w:sz w:val="24"/>
              </w:rPr>
            </w:pPr>
            <w:r>
              <w:rPr>
                <w:rFonts w:ascii="Times New Roman" w:hAnsi="Times New Roman" w:eastAsia="仿宋" w:cs="Times New Roman"/>
                <w:sz w:val="24"/>
              </w:rPr>
              <w:t>交付成果</w:t>
            </w:r>
            <w:r>
              <w:rPr>
                <w:rFonts w:hint="eastAsia" w:ascii="Times New Roman" w:hAnsi="Times New Roman" w:eastAsia="仿宋" w:cs="Times New Roman"/>
                <w:sz w:val="24"/>
              </w:rPr>
              <w:t>4.3</w:t>
            </w:r>
          </w:p>
        </w:tc>
        <w:tc>
          <w:tcPr>
            <w:tcW w:w="5063" w:type="dxa"/>
            <w:tcMar>
              <w:left w:w="108" w:type="dxa"/>
              <w:right w:w="108" w:type="dxa"/>
            </w:tcMar>
            <w:vAlign w:val="center"/>
          </w:tcPr>
          <w:p w14:paraId="0C4F81BA">
            <w:pPr>
              <w:rPr>
                <w:rFonts w:ascii="Times New Roman" w:hAnsi="Times New Roman" w:eastAsia="仿宋" w:cs="Times New Roman"/>
                <w:sz w:val="24"/>
              </w:rPr>
            </w:pPr>
            <w:r>
              <w:rPr>
                <w:rFonts w:hint="default" w:ascii="Times New Roman" w:hAnsi="Times New Roman" w:eastAsia="仿宋" w:cs="Times New Roman"/>
                <w:sz w:val="24"/>
              </w:rPr>
              <w:t>项目文件PDO指标</w:t>
            </w:r>
            <w:r>
              <w:rPr>
                <w:rFonts w:ascii="Times New Roman" w:hAnsi="Times New Roman" w:eastAsia="仿宋" w:cs="Times New Roman"/>
                <w:sz w:val="24"/>
              </w:rPr>
              <w:t>3</w:t>
            </w:r>
            <w:r>
              <w:rPr>
                <w:rFonts w:hint="default" w:ascii="Times New Roman" w:hAnsi="Times New Roman" w:eastAsia="仿宋" w:cs="Times New Roman"/>
                <w:sz w:val="24"/>
              </w:rPr>
              <w:t>——在全国范围内推行核查机构的筛选与准入规程</w:t>
            </w:r>
          </w:p>
        </w:tc>
        <w:tc>
          <w:tcPr>
            <w:tcW w:w="1789" w:type="dxa"/>
            <w:tcMar>
              <w:left w:w="108" w:type="dxa"/>
              <w:right w:w="108" w:type="dxa"/>
            </w:tcMar>
            <w:vAlign w:val="center"/>
          </w:tcPr>
          <w:p w14:paraId="272094FB">
            <w:pPr>
              <w:jc w:val="center"/>
              <w:rPr>
                <w:rFonts w:ascii="Times New Roman" w:hAnsi="Times New Roman" w:eastAsia="仿宋" w:cs="Times New Roman"/>
                <w:sz w:val="24"/>
              </w:rPr>
            </w:pPr>
            <w:r>
              <w:rPr>
                <w:rFonts w:ascii="Times New Roman" w:hAnsi="Times New Roman" w:eastAsia="仿宋" w:cs="Times New Roman"/>
                <w:sz w:val="24"/>
              </w:rPr>
              <w:t>间接贡献</w:t>
            </w:r>
          </w:p>
        </w:tc>
      </w:tr>
    </w:tbl>
    <w:p w14:paraId="6D7DDF40">
      <w:pPr>
        <w:pStyle w:val="2"/>
        <w:numPr>
          <w:ilvl w:val="255"/>
          <w:numId w:val="0"/>
        </w:numPr>
        <w:rPr>
          <w:rFonts w:ascii="Times New Roman" w:hAnsi="Times New Roman" w:eastAsia="FangSong_GB2312" w:cs="Times New Roman"/>
          <w:b/>
          <w:bCs/>
          <w:sz w:val="28"/>
          <w:szCs w:val="28"/>
        </w:rPr>
      </w:pPr>
      <w:r>
        <w:rPr>
          <w:rFonts w:hint="eastAsia" w:ascii="Times New Roman" w:hAnsi="Times New Roman" w:eastAsia="FangSong_GB2312" w:cs="Times New Roman"/>
          <w:b/>
          <w:bCs/>
          <w:sz w:val="28"/>
          <w:szCs w:val="28"/>
        </w:rPr>
        <w:t>五、付款条件及进度安排</w:t>
      </w:r>
    </w:p>
    <w:p w14:paraId="1B61F253">
      <w:pPr>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本</w:t>
      </w:r>
      <w:r>
        <w:rPr>
          <w:rFonts w:hint="eastAsia" w:ascii="Times New Roman" w:hAnsi="Times New Roman" w:eastAsia="仿宋" w:cs="Times New Roman"/>
          <w:sz w:val="28"/>
          <w:szCs w:val="28"/>
        </w:rPr>
        <w:t>分包</w:t>
      </w:r>
      <w:r>
        <w:rPr>
          <w:rFonts w:ascii="Times New Roman" w:hAnsi="Times New Roman" w:eastAsia="仿宋" w:cs="Times New Roman"/>
          <w:sz w:val="28"/>
          <w:szCs w:val="28"/>
        </w:rPr>
        <w:t>合同的主要任务应在</w:t>
      </w:r>
      <w:r>
        <w:rPr>
          <w:rFonts w:hint="eastAsia" w:ascii="Times New Roman" w:hAnsi="Times New Roman" w:eastAsia="仿宋" w:cs="Times New Roman"/>
          <w:sz w:val="28"/>
          <w:szCs w:val="28"/>
          <w:lang w:val="en-US" w:eastAsia="zh-CN"/>
        </w:rPr>
        <w:t>8</w:t>
      </w:r>
      <w:r>
        <w:rPr>
          <w:rFonts w:ascii="Times New Roman" w:hAnsi="Times New Roman" w:eastAsia="仿宋" w:cs="Times New Roman"/>
          <w:sz w:val="28"/>
          <w:szCs w:val="28"/>
        </w:rPr>
        <w:t>个月内完成，即所有关键交付成果须在</w:t>
      </w:r>
      <w:r>
        <w:rPr>
          <w:rFonts w:hint="eastAsia" w:ascii="Times New Roman" w:hAnsi="Times New Roman" w:eastAsia="仿宋" w:cs="Times New Roman"/>
          <w:sz w:val="28"/>
          <w:szCs w:val="28"/>
          <w:lang w:val="en-US" w:eastAsia="zh-CN"/>
        </w:rPr>
        <w:t>8</w:t>
      </w:r>
      <w:r>
        <w:rPr>
          <w:rFonts w:ascii="Times New Roman" w:hAnsi="Times New Roman" w:eastAsia="仿宋" w:cs="Times New Roman"/>
          <w:sz w:val="28"/>
          <w:szCs w:val="28"/>
        </w:rPr>
        <w:t>个月内提交。为确保交付成果的质量，</w:t>
      </w:r>
      <w:r>
        <w:rPr>
          <w:rFonts w:hint="eastAsia" w:ascii="Times New Roman" w:hAnsi="Times New Roman" w:eastAsia="仿宋" w:cs="Times New Roman"/>
          <w:sz w:val="28"/>
          <w:szCs w:val="28"/>
        </w:rPr>
        <w:t>分包</w:t>
      </w:r>
      <w:r>
        <w:rPr>
          <w:rFonts w:ascii="Times New Roman" w:hAnsi="Times New Roman" w:eastAsia="仿宋" w:cs="Times New Roman"/>
          <w:sz w:val="28"/>
          <w:szCs w:val="28"/>
        </w:rPr>
        <w:t>合同承担</w:t>
      </w:r>
      <w:r>
        <w:rPr>
          <w:rFonts w:hint="eastAsia" w:ascii="Times New Roman" w:hAnsi="Times New Roman" w:eastAsia="仿宋" w:cs="Times New Roman"/>
          <w:sz w:val="28"/>
          <w:szCs w:val="28"/>
        </w:rPr>
        <w:t>单位</w:t>
      </w:r>
      <w:r>
        <w:rPr>
          <w:rFonts w:ascii="Times New Roman" w:hAnsi="Times New Roman" w:eastAsia="仿宋" w:cs="Times New Roman"/>
          <w:sz w:val="28"/>
          <w:szCs w:val="28"/>
        </w:rPr>
        <w:t>应秉持积极的协作精神，根据PMO的要求，对交付成果进行更新、完善与优化，并提供相关技术支持。</w:t>
      </w:r>
    </w:p>
    <w:p w14:paraId="331B33EB">
      <w:pPr>
        <w:ind w:firstLine="560" w:firstLineChars="200"/>
        <w:rPr>
          <w:rFonts w:ascii="Times New Roman" w:hAnsi="Times New Roman" w:eastAsia="仿宋" w:cs="Times New Roman"/>
          <w:sz w:val="24"/>
        </w:rPr>
      </w:pPr>
      <w:r>
        <w:rPr>
          <w:rFonts w:ascii="Times New Roman" w:hAnsi="Times New Roman" w:eastAsia="仿宋" w:cs="Times New Roman"/>
          <w:sz w:val="28"/>
          <w:szCs w:val="28"/>
        </w:rPr>
        <w:t>本</w:t>
      </w:r>
      <w:r>
        <w:rPr>
          <w:rFonts w:hint="eastAsia" w:ascii="Times New Roman" w:hAnsi="Times New Roman" w:eastAsia="仿宋" w:cs="Times New Roman"/>
          <w:sz w:val="28"/>
          <w:szCs w:val="28"/>
        </w:rPr>
        <w:t>分包</w:t>
      </w:r>
      <w:r>
        <w:rPr>
          <w:rFonts w:ascii="Times New Roman" w:hAnsi="Times New Roman" w:eastAsia="仿宋" w:cs="Times New Roman"/>
          <w:sz w:val="28"/>
          <w:szCs w:val="28"/>
        </w:rPr>
        <w:t>合同的款项将分为3</w:t>
      </w:r>
      <w:r>
        <w:rPr>
          <w:rFonts w:hint="eastAsia" w:ascii="Times New Roman" w:hAnsi="Times New Roman" w:eastAsia="仿宋" w:cs="Times New Roman"/>
          <w:sz w:val="28"/>
          <w:szCs w:val="28"/>
        </w:rPr>
        <w:t>笔</w:t>
      </w:r>
      <w:r>
        <w:rPr>
          <w:rFonts w:ascii="Times New Roman" w:hAnsi="Times New Roman" w:eastAsia="仿宋" w:cs="Times New Roman"/>
          <w:sz w:val="28"/>
          <w:szCs w:val="28"/>
        </w:rPr>
        <w:t>支付。承担</w:t>
      </w:r>
      <w:r>
        <w:rPr>
          <w:rFonts w:hint="eastAsia" w:ascii="Times New Roman" w:hAnsi="Times New Roman" w:eastAsia="仿宋" w:cs="Times New Roman"/>
          <w:sz w:val="28"/>
          <w:szCs w:val="28"/>
        </w:rPr>
        <w:t>单位</w:t>
      </w:r>
      <w:r>
        <w:rPr>
          <w:rFonts w:ascii="Times New Roman" w:hAnsi="Times New Roman" w:eastAsia="仿宋" w:cs="Times New Roman"/>
          <w:sz w:val="28"/>
          <w:szCs w:val="28"/>
        </w:rPr>
        <w:t>在提交下表中各期付款所要求的全部文件，且文件经PMO技术评审并通过专家评审会议满意验收后，方可获得相应款项。交付成果提交及付款的具体时间建议如下</w:t>
      </w:r>
      <w:r>
        <w:rPr>
          <w:rFonts w:hint="eastAsia" w:ascii="Times New Roman" w:hAnsi="Times New Roman" w:eastAsia="仿宋" w:cs="Times New Roman"/>
          <w:sz w:val="28"/>
          <w:szCs w:val="28"/>
        </w:rPr>
        <w:t>：</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4619"/>
        <w:gridCol w:w="1761"/>
        <w:gridCol w:w="1333"/>
      </w:tblGrid>
      <w:tr w14:paraId="4D810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blHeader/>
        </w:trPr>
        <w:tc>
          <w:tcPr>
            <w:tcW w:w="473" w:type="pct"/>
            <w:vAlign w:val="center"/>
          </w:tcPr>
          <w:p w14:paraId="68DC6267">
            <w:pPr>
              <w:spacing w:before="156" w:beforeLines="50" w:after="156" w:afterLines="50"/>
              <w:rPr>
                <w:rFonts w:ascii="Times New Roman" w:hAnsi="Times New Roman" w:eastAsia="仿宋" w:cs="Times New Roman"/>
                <w:b/>
                <w:bCs/>
                <w:sz w:val="24"/>
              </w:rPr>
            </w:pPr>
            <w:r>
              <w:rPr>
                <w:rFonts w:hint="eastAsia" w:ascii="Times New Roman" w:hAnsi="Times New Roman" w:eastAsia="仿宋" w:cs="Times New Roman"/>
                <w:b/>
                <w:bCs/>
                <w:sz w:val="24"/>
              </w:rPr>
              <w:t>序号</w:t>
            </w:r>
          </w:p>
        </w:tc>
        <w:tc>
          <w:tcPr>
            <w:tcW w:w="2710" w:type="pct"/>
            <w:vAlign w:val="center"/>
          </w:tcPr>
          <w:p w14:paraId="5E5A944C">
            <w:pPr>
              <w:spacing w:before="156" w:beforeLines="50" w:after="156" w:afterLines="50"/>
              <w:rPr>
                <w:rFonts w:ascii="Times New Roman" w:hAnsi="Times New Roman" w:eastAsia="仿宋" w:cs="Times New Roman"/>
                <w:b/>
                <w:bCs/>
                <w:sz w:val="24"/>
              </w:rPr>
            </w:pPr>
            <w:r>
              <w:rPr>
                <w:rFonts w:hint="eastAsia" w:ascii="Times New Roman" w:hAnsi="Times New Roman" w:eastAsia="仿宋" w:cs="Times New Roman"/>
                <w:b/>
                <w:bCs/>
                <w:sz w:val="24"/>
              </w:rPr>
              <w:t>交付成果及进度</w:t>
            </w:r>
          </w:p>
        </w:tc>
        <w:tc>
          <w:tcPr>
            <w:tcW w:w="1033" w:type="pct"/>
            <w:vAlign w:val="center"/>
          </w:tcPr>
          <w:p w14:paraId="519712CF">
            <w:pPr>
              <w:spacing w:before="156" w:beforeLines="50" w:after="156" w:afterLines="50"/>
              <w:rPr>
                <w:rFonts w:ascii="Times New Roman" w:hAnsi="Times New Roman" w:eastAsia="仿宋" w:cs="Times New Roman"/>
                <w:b/>
                <w:bCs/>
                <w:sz w:val="24"/>
              </w:rPr>
            </w:pPr>
            <w:r>
              <w:rPr>
                <w:rFonts w:hint="eastAsia" w:ascii="Times New Roman" w:hAnsi="Times New Roman" w:eastAsia="仿宋" w:cs="Times New Roman"/>
                <w:b/>
                <w:bCs/>
                <w:sz w:val="24"/>
              </w:rPr>
              <w:t>预计交付时间</w:t>
            </w:r>
          </w:p>
        </w:tc>
        <w:tc>
          <w:tcPr>
            <w:tcW w:w="782" w:type="pct"/>
            <w:vAlign w:val="center"/>
          </w:tcPr>
          <w:p w14:paraId="01E8E2FC">
            <w:pPr>
              <w:spacing w:before="156" w:beforeLines="50" w:after="156" w:afterLines="50"/>
              <w:rPr>
                <w:rFonts w:ascii="Times New Roman" w:hAnsi="Times New Roman" w:eastAsia="仿宋" w:cs="Times New Roman"/>
                <w:b/>
                <w:bCs/>
                <w:sz w:val="24"/>
              </w:rPr>
            </w:pPr>
            <w:r>
              <w:rPr>
                <w:rFonts w:hint="eastAsia" w:ascii="Times New Roman" w:hAnsi="Times New Roman" w:eastAsia="仿宋" w:cs="Times New Roman"/>
                <w:b/>
                <w:bCs/>
                <w:sz w:val="24"/>
              </w:rPr>
              <w:t>支付比例</w:t>
            </w:r>
            <w:r>
              <w:rPr>
                <w:rFonts w:ascii="Times New Roman" w:hAnsi="Times New Roman" w:eastAsia="仿宋" w:cs="Times New Roman"/>
                <w:b/>
                <w:bCs/>
                <w:sz w:val="24"/>
              </w:rPr>
              <w:t xml:space="preserve"> </w:t>
            </w:r>
          </w:p>
        </w:tc>
      </w:tr>
      <w:tr w14:paraId="5146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271906CE">
            <w:pPr>
              <w:spacing w:before="156" w:beforeLines="50" w:after="156" w:afterLines="50"/>
              <w:jc w:val="center"/>
              <w:rPr>
                <w:rFonts w:ascii="Times New Roman" w:hAnsi="Times New Roman" w:eastAsia="仿宋" w:cs="Times New Roman"/>
                <w:sz w:val="24"/>
              </w:rPr>
            </w:pPr>
            <w:r>
              <w:rPr>
                <w:rFonts w:ascii="Times New Roman" w:hAnsi="Times New Roman" w:eastAsia="仿宋" w:cs="Times New Roman"/>
                <w:sz w:val="24"/>
              </w:rPr>
              <w:t>1</w:t>
            </w:r>
          </w:p>
        </w:tc>
        <w:tc>
          <w:tcPr>
            <w:tcW w:w="2710" w:type="pct"/>
            <w:vAlign w:val="center"/>
          </w:tcPr>
          <w:p w14:paraId="3AFBA9CC">
            <w:pPr>
              <w:pStyle w:val="23"/>
              <w:numPr>
                <w:ilvl w:val="0"/>
                <w:numId w:val="2"/>
              </w:numPr>
              <w:spacing w:before="156" w:beforeLines="50" w:after="156" w:afterLines="50"/>
              <w:rPr>
                <w:rFonts w:ascii="Times New Roman" w:hAnsi="Times New Roman" w:eastAsia="仿宋" w:cs="Times New Roman"/>
                <w:sz w:val="24"/>
              </w:rPr>
            </w:pPr>
            <w:r>
              <w:rPr>
                <w:rFonts w:ascii="Times New Roman" w:hAnsi="Times New Roman" w:eastAsia="仿宋" w:cs="Times New Roman"/>
                <w:sz w:val="24"/>
              </w:rPr>
              <w:t>详细</w:t>
            </w:r>
            <w:r>
              <w:rPr>
                <w:rFonts w:hint="eastAsia" w:ascii="Times New Roman" w:hAnsi="Times New Roman" w:eastAsia="仿宋" w:cs="Times New Roman"/>
                <w:sz w:val="24"/>
              </w:rPr>
              <w:t>的分包任务</w:t>
            </w:r>
            <w:r>
              <w:rPr>
                <w:rFonts w:ascii="Times New Roman" w:hAnsi="Times New Roman" w:eastAsia="仿宋" w:cs="Times New Roman"/>
                <w:sz w:val="24"/>
              </w:rPr>
              <w:t>实施方案</w:t>
            </w:r>
            <w:r>
              <w:rPr>
                <w:rFonts w:hint="eastAsia" w:ascii="Times New Roman" w:hAnsi="Times New Roman" w:eastAsia="仿宋" w:cs="Times New Roman"/>
                <w:sz w:val="24"/>
              </w:rPr>
              <w:t>（含详细研究方案、工作计划及研究报告大纲）</w:t>
            </w:r>
          </w:p>
        </w:tc>
        <w:tc>
          <w:tcPr>
            <w:tcW w:w="1033" w:type="pct"/>
            <w:vAlign w:val="center"/>
          </w:tcPr>
          <w:p w14:paraId="7FC2AC20">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合同签署后2个月内</w:t>
            </w:r>
          </w:p>
        </w:tc>
        <w:tc>
          <w:tcPr>
            <w:tcW w:w="782" w:type="pct"/>
            <w:vAlign w:val="center"/>
          </w:tcPr>
          <w:p w14:paraId="6C1225B3">
            <w:pPr>
              <w:spacing w:before="156" w:beforeLines="50" w:after="156" w:afterLines="50"/>
              <w:jc w:val="center"/>
              <w:rPr>
                <w:rFonts w:ascii="Times New Roman" w:hAnsi="Times New Roman" w:eastAsia="仿宋" w:cs="Times New Roman"/>
                <w:sz w:val="24"/>
              </w:rPr>
            </w:pPr>
            <w:r>
              <w:rPr>
                <w:rFonts w:ascii="Times New Roman" w:hAnsi="Times New Roman" w:eastAsia="仿宋" w:cs="Times New Roman"/>
                <w:sz w:val="24"/>
              </w:rPr>
              <w:t>15%</w:t>
            </w:r>
          </w:p>
        </w:tc>
      </w:tr>
      <w:tr w14:paraId="5D51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25BF7C49">
            <w:pPr>
              <w:spacing w:before="156" w:beforeLines="50" w:after="156" w:afterLines="50"/>
              <w:jc w:val="center"/>
              <w:rPr>
                <w:rFonts w:ascii="Times New Roman" w:hAnsi="Times New Roman" w:eastAsia="仿宋" w:cs="Times New Roman"/>
                <w:sz w:val="24"/>
              </w:rPr>
            </w:pPr>
            <w:r>
              <w:rPr>
                <w:rFonts w:ascii="Times New Roman" w:hAnsi="Times New Roman" w:eastAsia="仿宋" w:cs="Times New Roman"/>
                <w:sz w:val="24"/>
              </w:rPr>
              <w:t>2</w:t>
            </w:r>
          </w:p>
        </w:tc>
        <w:tc>
          <w:tcPr>
            <w:tcW w:w="2710" w:type="pct"/>
            <w:vAlign w:val="center"/>
          </w:tcPr>
          <w:p w14:paraId="16C8CE31">
            <w:pPr>
              <w:pStyle w:val="23"/>
              <w:numPr>
                <w:ilvl w:val="0"/>
                <w:numId w:val="3"/>
              </w:numPr>
              <w:spacing w:before="156" w:beforeLines="50" w:after="156" w:afterLines="50"/>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14:textFill>
                  <w14:solidFill>
                    <w14:schemeClr w14:val="tx1"/>
                  </w14:solidFill>
                </w14:textFill>
              </w:rPr>
              <w:t>交付成果4.1、交付成果4.2、交付成果4.3的初稿</w:t>
            </w:r>
          </w:p>
        </w:tc>
        <w:tc>
          <w:tcPr>
            <w:tcW w:w="1033" w:type="pct"/>
            <w:vAlign w:val="center"/>
          </w:tcPr>
          <w:p w14:paraId="10DE9879">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合同签署后6个月内</w:t>
            </w:r>
          </w:p>
        </w:tc>
        <w:tc>
          <w:tcPr>
            <w:tcW w:w="782" w:type="pct"/>
            <w:vAlign w:val="center"/>
          </w:tcPr>
          <w:p w14:paraId="3EF44869">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50</w:t>
            </w:r>
            <w:r>
              <w:rPr>
                <w:rFonts w:ascii="Times New Roman" w:hAnsi="Times New Roman" w:eastAsia="仿宋" w:cs="Times New Roman"/>
                <w:sz w:val="24"/>
              </w:rPr>
              <w:t>%</w:t>
            </w:r>
          </w:p>
        </w:tc>
      </w:tr>
      <w:tr w14:paraId="4F07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3396847B">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3</w:t>
            </w:r>
          </w:p>
        </w:tc>
        <w:tc>
          <w:tcPr>
            <w:tcW w:w="2710" w:type="pct"/>
            <w:vAlign w:val="center"/>
          </w:tcPr>
          <w:p w14:paraId="71BDB90D">
            <w:pPr>
              <w:pStyle w:val="23"/>
              <w:numPr>
                <w:ilvl w:val="0"/>
                <w:numId w:val="4"/>
              </w:numPr>
              <w:spacing w:before="156" w:beforeLines="50" w:after="156" w:afterLines="50"/>
              <w:rPr>
                <w:rFonts w:ascii="Times New Roman" w:hAnsi="Times New Roman" w:eastAsia="仿宋" w:cs="Times New Roman"/>
                <w:sz w:val="24"/>
              </w:rPr>
            </w:pPr>
            <w:r>
              <w:rPr>
                <w:rFonts w:hint="eastAsia" w:ascii="Times New Roman" w:hAnsi="Times New Roman" w:eastAsia="仿宋" w:cs="Times New Roman"/>
                <w:sz w:val="24"/>
              </w:rPr>
              <w:t>上述所有</w:t>
            </w:r>
            <w:r>
              <w:rPr>
                <w:rFonts w:hint="eastAsia" w:ascii="Times New Roman" w:hAnsi="Times New Roman" w:eastAsia="仿宋" w:cs="Times New Roman"/>
                <w:color w:val="000000" w:themeColor="text1"/>
                <w:sz w:val="24"/>
                <w14:textFill>
                  <w14:solidFill>
                    <w14:schemeClr w14:val="tx1"/>
                  </w14:solidFill>
                </w14:textFill>
              </w:rPr>
              <w:t>交付成果</w:t>
            </w:r>
            <w:r>
              <w:rPr>
                <w:rFonts w:hint="eastAsia" w:ascii="Times New Roman" w:hAnsi="Times New Roman" w:eastAsia="仿宋" w:cs="Times New Roman"/>
                <w:sz w:val="24"/>
              </w:rPr>
              <w:t>最终报告</w:t>
            </w:r>
          </w:p>
        </w:tc>
        <w:tc>
          <w:tcPr>
            <w:tcW w:w="1033" w:type="pct"/>
            <w:vAlign w:val="center"/>
          </w:tcPr>
          <w:p w14:paraId="5AC08249">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合同签署后</w:t>
            </w:r>
            <w:r>
              <w:rPr>
                <w:rFonts w:hint="eastAsia" w:ascii="Times New Roman" w:hAnsi="Times New Roman" w:eastAsia="仿宋" w:cs="Times New Roman"/>
                <w:sz w:val="24"/>
                <w:lang w:val="en-US" w:eastAsia="zh-CN"/>
              </w:rPr>
              <w:t>8</w:t>
            </w:r>
            <w:r>
              <w:rPr>
                <w:rFonts w:hint="eastAsia" w:ascii="Times New Roman" w:hAnsi="Times New Roman" w:eastAsia="仿宋" w:cs="Times New Roman"/>
                <w:sz w:val="24"/>
              </w:rPr>
              <w:t>个月内</w:t>
            </w:r>
          </w:p>
        </w:tc>
        <w:tc>
          <w:tcPr>
            <w:tcW w:w="782" w:type="pct"/>
            <w:vAlign w:val="center"/>
          </w:tcPr>
          <w:p w14:paraId="296E6557">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35</w:t>
            </w:r>
            <w:r>
              <w:rPr>
                <w:rFonts w:ascii="Times New Roman" w:hAnsi="Times New Roman" w:eastAsia="仿宋" w:cs="Times New Roman"/>
                <w:sz w:val="24"/>
              </w:rPr>
              <w:t>%</w:t>
            </w:r>
          </w:p>
        </w:tc>
      </w:tr>
    </w:tbl>
    <w:p w14:paraId="712548EF">
      <w:pPr>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承担单位</w:t>
      </w:r>
      <w:r>
        <w:rPr>
          <w:rFonts w:ascii="Times New Roman" w:hAnsi="Times New Roman" w:eastAsia="仿宋" w:cs="Times New Roman"/>
          <w:sz w:val="28"/>
          <w:szCs w:val="28"/>
        </w:rPr>
        <w:t>应在项目建议书中制定详细的项目时间表，明确各项交付成果的提交时间安排。交付成果提交及付款的最终时间安排以合同条款与条件为准。</w:t>
      </w:r>
    </w:p>
    <w:p w14:paraId="1F6B501D">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根据分包合同实施的实际情况，经双方协商一致，可对合同进行适当的修订或续签</w:t>
      </w:r>
      <w:r>
        <w:rPr>
          <w:rFonts w:hint="eastAsia" w:ascii="Times New Roman" w:hAnsi="Times New Roman" w:eastAsia="仿宋" w:cs="Times New Roman"/>
          <w:sz w:val="28"/>
          <w:szCs w:val="28"/>
        </w:rPr>
        <w:t>。</w:t>
      </w:r>
    </w:p>
    <w:p w14:paraId="5EACAB62">
      <w:pPr>
        <w:pStyle w:val="2"/>
        <w:numPr>
          <w:ilvl w:val="255"/>
          <w:numId w:val="0"/>
        </w:numPr>
        <w:rPr>
          <w:rFonts w:ascii="Times New Roman" w:hAnsi="Times New Roman" w:eastAsia="FangSong_GB2312" w:cs="Times New Roman"/>
          <w:b/>
          <w:bCs/>
          <w:sz w:val="28"/>
          <w:szCs w:val="28"/>
        </w:rPr>
      </w:pPr>
      <w:r>
        <w:rPr>
          <w:rFonts w:hint="eastAsia" w:ascii="Times New Roman" w:hAnsi="Times New Roman" w:eastAsia="FangSong_GB2312" w:cs="Times New Roman"/>
          <w:b/>
          <w:bCs/>
          <w:sz w:val="28"/>
          <w:szCs w:val="28"/>
        </w:rPr>
        <w:t>六、咨询服务单位资质及团队要求</w:t>
      </w:r>
    </w:p>
    <w:p w14:paraId="2137AFB6">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6.1 项目承接单位要求</w:t>
      </w:r>
    </w:p>
    <w:p w14:paraId="10D987C7">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本项目允许联合体参与投标，联合体各方应满足本工作任务大纲所要求的资质条件，且需满足《中华人民共和国政府采购法》第二十二条规定，并明确牵头单位和参与单位的各方职责分工。</w:t>
      </w:r>
    </w:p>
    <w:p w14:paraId="7EBDEFD1">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本项目分包任务旨在从认证认可体系和制度设计层面开展研究和评估，要求承接单位具备以下经验：</w:t>
      </w:r>
    </w:p>
    <w:p w14:paraId="0D8FE993">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a. 对全国碳排放权交易市场的制度设计、运行机制、监管框架具有深刻的认识和研究基础，熟悉认证认可体系（CNCA、CNAS）的运行机制。</w:t>
      </w:r>
    </w:p>
    <w:p w14:paraId="1FE70D03">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b. 具备为国家相关政策、战略、规划、管理办法的制定及修订提供支持的经验和能力。</w:t>
      </w:r>
    </w:p>
    <w:p w14:paraId="2FBB2162">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c. 在核查机构管理、认证认可体系或碳市场MRV体系方面具有研究经验或政策制定支持经验，熟悉合格评定相关国际标准。</w:t>
      </w:r>
    </w:p>
    <w:p w14:paraId="5B48BAAB">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d. 具备国际碳市场核查机构认证管理经验研究的能力。</w:t>
      </w:r>
    </w:p>
    <w:p w14:paraId="102E11F5">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6.2 课题研究团队要求</w:t>
      </w:r>
    </w:p>
    <w:p w14:paraId="4C1ECC4C">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项目团队人员数量应满足项目实际工作需要。团队构成应有碳市场政策研究人员、认证认可体系研究人员、绩效评价研究人员、项目与财务管理人员、环境社会风险管控人员等。</w:t>
      </w:r>
    </w:p>
    <w:p w14:paraId="4E9F5289">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a. 项目负责人（1人）</w:t>
      </w:r>
    </w:p>
    <w:p w14:paraId="24225FCE">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负责项目总体规划、任务部署和进度把控等工作。应具有碳市场或认证认可领域研究经验5年以上，或作为项目负责人承担过国家级或部委级相关研究项目不少于1项。</w:t>
      </w:r>
    </w:p>
    <w:p w14:paraId="616BB4C5">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b. 技术人员（若干）</w:t>
      </w:r>
    </w:p>
    <w:p w14:paraId="54BDAA5C">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团队应配置具备以下能力和经验的技术人员：</w:t>
      </w:r>
    </w:p>
    <w:p w14:paraId="076121C8">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在碳市场制度设计或核查机构管理领域具有3年以上工作经验，或曾以主要技术负责人身份承担过国家级或省部级相关研究项目，具备承担项目方案制定、技术决策及研究成果质量把控的能力；</w:t>
      </w:r>
    </w:p>
    <w:p w14:paraId="7AA55E39">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在核查机构准入管理或认证认可体系研究领域具有3年以上工作经历，或曾以主要技术人员身份参与过相关研究项目，具备承担核查机构准入管理制度研究任务的能力；</w:t>
      </w:r>
    </w:p>
    <w:p w14:paraId="3593BCAE">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在绩效评价或动态管理机制研究领域具有3年以上工作经历，或曾以主要技术人员身份参与过相关研究项目，具备承担核查机构绩效评价与动态管理机制研究任务的能力；</w:t>
      </w:r>
    </w:p>
    <w:p w14:paraId="373AF88E">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在利益冲突评估或合规管理机制研究领域具有3年以上工作经历，或曾以主要技术人员身份参与过相关研究项目，具备承担利益冲突评估与合规管理机制研究任务的能力；</w:t>
      </w:r>
    </w:p>
    <w:p w14:paraId="5F6EC29C">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曾参与国家级相关领域政策建议文件起草工作，熟悉向国家部委报送政策建议文件的工作流程、格式规范与内容要求，具备将研究成果转化为可供决策参考的制度框架建议文件的能力；</w:t>
      </w:r>
    </w:p>
    <w:p w14:paraId="0BC53D28">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根据研究工作实际需要，配备在相关研究领域具有2年以上工作经验的成员，具备承担资料收集、数据分析、报告撰写等技术支持工作的能力。</w:t>
      </w:r>
    </w:p>
    <w:p w14:paraId="4B21F8B3">
      <w:pPr>
        <w:numPr>
          <w:ilvl w:val="255"/>
          <w:numId w:val="0"/>
        </w:numPr>
        <w:adjustRightInd w:val="0"/>
        <w:snapToGrid w:val="0"/>
        <w:spacing w:line="360" w:lineRule="auto"/>
        <w:ind w:left="42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c. 项目团队还应配备熟悉世界银行或多边国际组织环境和社会框架，或具有相关环境社会影响与风险管理经验的环境和社会专家各1人，按照世界银行《环境和社会框架》（ESF）政策要求，识别、评估本咨询服务活动涉及的潜在环境和社会风险及影响，提出相应的处置和缓解措施建议；负责各交付成果中环境与社会影响分析章节的撰写；协助制定并实施信息公开计划及公众参与计划；接受项目管理办公室所聘请的环境社会专家的监督和指导。</w:t>
      </w:r>
    </w:p>
    <w:p w14:paraId="5373D1FE">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环境专家：负责各交付成果中环境影响分析部分的撰写，重点评估核查机构管理政策变化可能对区域环境合规监管能力的影响。</w:t>
      </w:r>
    </w:p>
    <w:p w14:paraId="59377599">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社会专家：负责各交付成果中社会影响分析部分的撰写，重点评估对核查从业人员就业、中小机构及欠发达地区服务可及性的差异化影响，并制定相应缓解措施建议。</w:t>
      </w:r>
    </w:p>
    <w:p w14:paraId="29D3C739">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d. 项目团队需配备财务管理1人，按照世界银行相关政策要求，负责本项目财务日常管理、编制项目财务报告，并配合提交项目监督管理及审计所需的所有资料。</w:t>
      </w:r>
    </w:p>
    <w:p w14:paraId="61327DBE">
      <w:pPr>
        <w:pStyle w:val="2"/>
        <w:numPr>
          <w:ilvl w:val="255"/>
          <w:numId w:val="0"/>
        </w:numPr>
        <w:rPr>
          <w:rFonts w:ascii="Times New Roman" w:hAnsi="Times New Roman" w:eastAsia="FangSong_GB2312" w:cs="Times New Roman"/>
          <w:b/>
          <w:bCs/>
          <w:sz w:val="28"/>
          <w:szCs w:val="28"/>
        </w:rPr>
      </w:pPr>
      <w:r>
        <w:rPr>
          <w:rFonts w:hint="eastAsia" w:ascii="Times New Roman" w:hAnsi="Times New Roman" w:eastAsia="FangSong_GB2312" w:cs="Times New Roman"/>
          <w:b/>
          <w:bCs/>
          <w:sz w:val="28"/>
          <w:szCs w:val="28"/>
        </w:rPr>
        <w:t>七、环境社会风险要求</w:t>
      </w:r>
    </w:p>
    <w:p w14:paraId="58C0EE05">
      <w:pPr>
        <w:ind w:firstLine="420" w:firstLineChars="150"/>
        <w:rPr>
          <w:rFonts w:ascii="Times New Roman" w:hAnsi="Times New Roman" w:eastAsia="仿宋" w:cs="Times New Roman"/>
          <w:sz w:val="28"/>
          <w:szCs w:val="28"/>
        </w:rPr>
      </w:pPr>
      <w:r>
        <w:rPr>
          <w:rFonts w:ascii="Times New Roman" w:hAnsi="Times New Roman" w:eastAsia="仿宋" w:cs="Times New Roman"/>
          <w:sz w:val="28"/>
          <w:szCs w:val="28"/>
        </w:rPr>
        <w:t>本咨询服务分包项目的设计和实施，应依据世界银行《环境和社会管理框架》及世界银行的《技术援助与环境社会框架指南》中的相关要求，按照项目的《环境社会管理框架》中制定的环境社会管理程序对分包任务所涉及的潜在环境和社会风险及影响进行筛选/分析和评价，并提出应对措施和建议，确保项目活动及产出符合项目制定的环境和社会管理框架（ESMF）、环境和社会承诺计划（ESCP）及利益相关方参与计划（SEP）的相关要求。</w:t>
      </w:r>
    </w:p>
    <w:p w14:paraId="7FBAABA5">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根据项目管理办公室所聘请的环境社会专家的意见，确定本分包任务所需要准备的环境、社会文件的类型及要求（文件类型指的是根据研究课题的类型准备相应文件）。</w:t>
      </w:r>
    </w:p>
    <w:p w14:paraId="7235E16C">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按照世行《技术援助与环境社会框架指南》确定是否需要编制单独的环境社会评价文件包括规划评价或战略评价报告，还是可以仅作为研究报告的一个章节。</w:t>
      </w:r>
    </w:p>
    <w:p w14:paraId="50C69673">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在环境社会专家的指导下，根据本项目活动所涉及的环境社会风险类型，并结合项目活动本身需要，召开项目利益相关方磋商会、咨询会、培训会、宣贯会及研讨会等，制定并实施信息公开计划及公众参与计划；同时根据要求，参加世界银行及项目管理办公室组织的相关环境社会风险类会议。</w:t>
      </w:r>
    </w:p>
    <w:p w14:paraId="5282BC8C">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根据项目管理办公室的要求，每半年提供本分包项目在环境社会风险方面所开展的工作进展，并接受项目管理办公室及其所聘请环境社会专家的监督和指导。</w:t>
      </w:r>
    </w:p>
    <w:p w14:paraId="5837C22F">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所有交付成果须包含不少于一（1）页的专项环境与社会影响分析章节，涵盖：核查机构准入条件变化对核查服务市场格局及从业人员就业的潜在影响分析；准入标准、绩效评价机制对不同规模、不同地区核查机构的差异化影响，特别是对中小型核查机构和欠发达地区核查服务能力可及性的影响；以及针对上述影响的拟议缓解措施，包括过渡期安排、能力建设支持及差异化监管等。</w:t>
      </w:r>
    </w:p>
    <w:p w14:paraId="25AD376F">
      <w:pPr>
        <w:pStyle w:val="2"/>
        <w:numPr>
          <w:ilvl w:val="255"/>
          <w:numId w:val="0"/>
        </w:numPr>
        <w:rPr>
          <w:rFonts w:ascii="Times New Roman" w:hAnsi="Times New Roman" w:eastAsia="FangSong_GB2312" w:cs="Times New Roman"/>
          <w:b/>
          <w:bCs/>
          <w:sz w:val="28"/>
          <w:szCs w:val="28"/>
        </w:rPr>
      </w:pPr>
      <w:r>
        <w:rPr>
          <w:rFonts w:hint="eastAsia" w:ascii="Times New Roman" w:hAnsi="Times New Roman" w:eastAsia="FangSong_GB2312" w:cs="Times New Roman"/>
          <w:b/>
          <w:bCs/>
          <w:sz w:val="28"/>
          <w:szCs w:val="28"/>
        </w:rPr>
        <w:t>八、采购方式</w:t>
      </w:r>
    </w:p>
    <w:p w14:paraId="01345E5E">
      <w:pPr>
        <w:spacing w:before="156" w:beforeLines="50" w:after="156" w:afterLines="50"/>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本项目分包工作任务拟采用基于咨询顾问资历的选择（CQS）方式进行采购。</w:t>
      </w:r>
    </w:p>
    <w:p w14:paraId="074964B6">
      <w:pPr>
        <w:spacing w:before="156" w:beforeLines="50" w:after="156" w:afterLines="50"/>
        <w:ind w:firstLine="560" w:firstLineChars="200"/>
        <w:rPr>
          <w:rFonts w:hint="eastAsia" w:ascii="Times New Roman" w:hAnsi="Times New Roman" w:eastAsia="仿宋_GB2312" w:cs="Times New Roman"/>
          <w:sz w:val="28"/>
          <w:szCs w:val="28"/>
        </w:rPr>
      </w:pPr>
    </w:p>
    <w:sectPr>
      <w:footerReference r:id="rId6" w:type="first"/>
      <w:footerReference r:id="rId4" w:type="default"/>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7B87804C-E11E-4EE9-B27F-7662435DA00D}"/>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embedRegular r:id="rId2" w:fontKey="{DEFD12FF-11BA-487E-9ACA-0D7C9A84ED15}"/>
  </w:font>
  <w:font w:name="FangSong_GB2312">
    <w:altName w:val="仿宋_GB2312"/>
    <w:panose1 w:val="00020600040101010101"/>
    <w:charset w:val="86"/>
    <w:family w:val="modern"/>
    <w:pitch w:val="default"/>
    <w:sig w:usb0="00000000" w:usb1="00000000" w:usb2="00000016" w:usb3="00000000" w:csb0="0004009F" w:csb1="DFD70000"/>
    <w:embedRegular r:id="rId3" w:fontKey="{DE252866-0ED2-433F-953D-8C8DA9F64AC6}"/>
  </w:font>
  <w:font w:name="仿宋_GB2312">
    <w:panose1 w:val="02010609030101010101"/>
    <w:charset w:val="86"/>
    <w:family w:val="auto"/>
    <w:pitch w:val="default"/>
    <w:sig w:usb0="00000001" w:usb1="080E0000" w:usb2="00000000" w:usb3="00000000" w:csb0="00040000" w:csb1="00000000"/>
    <w:embedRegular r:id="rId4" w:fontKey="{50F7883F-D3CD-4EDB-BD7D-15F7F087279F}"/>
  </w:font>
  <w:font w:name="Segoe UI">
    <w:panose1 w:val="020B0502040204020203"/>
    <w:charset w:val="00"/>
    <w:family w:val="swiss"/>
    <w:pitch w:val="default"/>
    <w:sig w:usb0="E4002EFF" w:usb1="C000E47F" w:usb2="00000009" w:usb3="00000000" w:csb0="200001FF" w:csb1="00000000"/>
    <w:embedRegular r:id="rId5" w:fontKey="{7398971F-4328-4F27-9022-F26D43CC60E9}"/>
  </w:font>
  <w:font w:name="Aptos">
    <w:altName w:val="Segoe UI"/>
    <w:panose1 w:val="020B0004020202020204"/>
    <w:charset w:val="00"/>
    <w:family w:val="roman"/>
    <w:pitch w:val="default"/>
    <w:sig w:usb0="00000000" w:usb1="00000000" w:usb2="00000000" w:usb3="00000000" w:csb0="2000019F" w:csb1="00000000"/>
    <w:embedRegular r:id="rId6" w:fontKey="{F9CFAD3F-2914-48B6-A672-CFAAC7AA8C14}"/>
  </w:font>
  <w:font w:name="Helvetica Neue">
    <w:altName w:val="Times New Roman"/>
    <w:panose1 w:val="02000503000000020004"/>
    <w:charset w:val="00"/>
    <w:family w:val="auto"/>
    <w:pitch w:val="default"/>
    <w:sig w:usb0="00000000" w:usb1="00000000" w:usb2="0000001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131D0">
    <w:pPr>
      <w:pStyle w:val="7"/>
    </w:pPr>
    <w:r>
      <mc:AlternateContent>
        <mc:Choice Requires="wps">
          <w:drawing>
            <wp:anchor distT="0" distB="0" distL="0" distR="0" simplePos="0" relativeHeight="251659264" behindDoc="0" locked="0" layoutInCell="1" allowOverlap="1">
              <wp:simplePos x="0" y="0"/>
              <wp:positionH relativeFrom="page">
                <wp:align>right</wp:align>
              </wp:positionH>
              <wp:positionV relativeFrom="page">
                <wp:align>bottom</wp:align>
              </wp:positionV>
              <wp:extent cx="1158875" cy="342900"/>
              <wp:effectExtent l="0" t="0" r="0" b="0"/>
              <wp:wrapNone/>
              <wp:docPr id="859633987" name="Text Box 3" descr="Official Use Only"/>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6E2B3273">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3" o:spid="_x0000_s1026" o:spt="202" alt="Official Use Only" type="#_x0000_t202" style="position:absolute;left:0pt;height:27pt;width:91.25pt;mso-position-horizontal:righ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CDXoibVAAAABAEAAA8AAAAAAAAAAQAgAAAAIgAAAGRycy9k&#10;b3ducmV2LnhtbFBLAQIUABQAAAAIAIdO4kBS6jHTPgIAAHYEAAAOAAAAAAAAAAEAIAAAACQBAABk&#10;cnMvZTJvRG9jLnhtbFBLBQYAAAAABgAGAFkBAADUBQAAAAA=&#10;">
              <v:fill on="f" focussize="0,0"/>
              <v:stroke on="f"/>
              <v:imagedata o:title=""/>
              <o:lock v:ext="edit" aspectratio="f"/>
              <v:textbox inset="0mm,0mm,20pt,15pt" style="mso-fit-shape-to-text:t;">
                <w:txbxContent>
                  <w:p w14:paraId="6E2B3273">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954DC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C954DC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83EFB">
    <w:pPr>
      <w:pStyle w:val="7"/>
    </w:pPr>
    <w:r>
      <mc:AlternateContent>
        <mc:Choice Requires="wps">
          <w:drawing>
            <wp:anchor distT="0" distB="0" distL="0" distR="0" simplePos="0" relativeHeight="251659264" behindDoc="0" locked="0" layoutInCell="1" allowOverlap="1">
              <wp:simplePos x="0" y="0"/>
              <wp:positionH relativeFrom="page">
                <wp:align>right</wp:align>
              </wp:positionH>
              <wp:positionV relativeFrom="page">
                <wp:align>bottom</wp:align>
              </wp:positionV>
              <wp:extent cx="1158875" cy="342900"/>
              <wp:effectExtent l="0" t="0" r="0" b="0"/>
              <wp:wrapNone/>
              <wp:docPr id="147683606" name="Text Box 2" descr="Official Use Only"/>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23E73214">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2" o:spid="_x0000_s1026" o:spt="202" alt="Official Use Only" type="#_x0000_t202" style="position:absolute;left:0pt;height:27pt;width:91.25pt;mso-position-horizontal:righ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NeiJtUAAAAEAQAADwAAAAAAAAABACAAAAAiAAAAZHJzL2Rv&#10;d25yZXYueG1sUEsBAhQAFAAAAAgAh07iQC2Z6YE9AgAAdgQAAA4AAAAAAAAAAQAgAAAAJAEAAGRy&#10;cy9lMm9Eb2MueG1sUEsFBgAAAAAGAAYAWQEAANMFAAAAAA==&#10;">
              <v:fill on="f" focussize="0,0"/>
              <v:stroke on="f"/>
              <v:imagedata o:title=""/>
              <o:lock v:ext="edit" aspectratio="f"/>
              <v:textbox inset="0mm,0mm,20pt,15pt" style="mso-fit-shape-to-text:t;">
                <w:txbxContent>
                  <w:p w14:paraId="23E73214">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C7F03">
    <w:pPr>
      <w:pStyle w:val="7"/>
    </w:pPr>
    <w:r>
      <mc:AlternateContent>
        <mc:Choice Requires="wps">
          <w:drawing>
            <wp:anchor distT="0" distB="0" distL="0" distR="0" simplePos="0" relativeHeight="251659264" behindDoc="0" locked="0" layoutInCell="1" allowOverlap="1">
              <wp:simplePos x="0" y="0"/>
              <wp:positionH relativeFrom="page">
                <wp:align>right</wp:align>
              </wp:positionH>
              <wp:positionV relativeFrom="page">
                <wp:align>bottom</wp:align>
              </wp:positionV>
              <wp:extent cx="1158875" cy="342900"/>
              <wp:effectExtent l="0" t="0" r="0" b="0"/>
              <wp:wrapNone/>
              <wp:docPr id="1050442903" name="Text Box 1" descr="Official Use Only"/>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5704979F">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1" o:spid="_x0000_s1026" o:spt="202" alt="Official Use Only" type="#_x0000_t202" style="position:absolute;left:0pt;height:27pt;width:91.25pt;mso-position-horizontal:righ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CDXoibVAAAABAEAAA8AAAAAAAAAAQAgAAAAIgAAAGRycy9kb3du&#10;cmV2LnhtbFBLAQIUABQAAAAIAIdO4kAC47tPOwIAAHcEAAAOAAAAAAAAAAEAIAAAACQBAABkcnMv&#10;ZTJvRG9jLnhtbFBLBQYAAAAABgAGAFkBAADRBQAAAAA=&#10;">
              <v:fill on="f" focussize="0,0"/>
              <v:stroke on="f"/>
              <v:imagedata o:title=""/>
              <o:lock v:ext="edit" aspectratio="f"/>
              <v:textbox inset="0mm,0mm,20pt,15pt" style="mso-fit-shape-to-text:t;">
                <w:txbxContent>
                  <w:p w14:paraId="5704979F">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1D266D36">
      <w:pPr>
        <w:pStyle w:val="9"/>
      </w:pPr>
      <w:r>
        <w:rPr>
          <w:rStyle w:val="16"/>
        </w:rPr>
        <w:footnoteRef/>
      </w:r>
      <w:r>
        <w:t xml:space="preserve"> </w:t>
      </w:r>
      <w:r>
        <w:rPr>
          <w:rFonts w:ascii="Times New Roman" w:hAnsi="Times New Roman" w:cs="Segoe UI"/>
          <w:color w:val="0F1115"/>
          <w:szCs w:val="18"/>
          <w:shd w:val="clear" w:color="auto" w:fill="FFFFFF"/>
        </w:rPr>
        <w:t>PMI‑4分包</w:t>
      </w:r>
      <w:r>
        <w:rPr>
          <w:rFonts w:hint="eastAsia" w:ascii="Times New Roman" w:hAnsi="Times New Roman" w:cs="Segoe UI"/>
          <w:color w:val="0F1115"/>
          <w:szCs w:val="18"/>
          <w:shd w:val="clear" w:color="auto" w:fill="FFFFFF"/>
        </w:rPr>
        <w:t>任务</w:t>
      </w:r>
      <w:r>
        <w:rPr>
          <w:rFonts w:ascii="Times New Roman" w:hAnsi="Times New Roman" w:cs="Segoe UI"/>
          <w:color w:val="0F1115"/>
          <w:szCs w:val="18"/>
          <w:shd w:val="clear" w:color="auto" w:fill="FFFFFF"/>
        </w:rPr>
        <w:t>旨在研究提升ETS监管能力与加强数据管理平台建设、CCER制度实施效果评估及优化相关技术</w:t>
      </w:r>
      <w:r>
        <w:rPr>
          <w:rFonts w:hint="eastAsia" w:ascii="Times New Roman" w:hAnsi="Times New Roman" w:cs="Segoe UI"/>
          <w:color w:val="0F1115"/>
          <w:szCs w:val="18"/>
          <w:shd w:val="clear" w:color="auto" w:fill="FFFFFF"/>
        </w:rPr>
        <w:t>。</w:t>
      </w:r>
    </w:p>
  </w:footnote>
  <w:footnote w:id="1">
    <w:p w14:paraId="2A6A43BB">
      <w:pPr>
        <w:pStyle w:val="9"/>
      </w:pPr>
      <w:r>
        <w:rPr>
          <w:rStyle w:val="16"/>
        </w:rPr>
        <w:footnoteRef/>
      </w:r>
      <w:r>
        <w:t xml:space="preserve"> </w:t>
      </w:r>
      <w:r>
        <w:rPr>
          <w:rFonts w:hint="eastAsia"/>
        </w:rPr>
        <w:t>PMI-25分包项目旨在开展统筹国家ETS重点行业核查指南研究。</w:t>
      </w:r>
    </w:p>
  </w:footnote>
  <w:footnote w:id="2">
    <w:p w14:paraId="15B1F8C1">
      <w:pPr>
        <w:pStyle w:val="9"/>
      </w:pPr>
      <w:r>
        <w:rPr>
          <w:rStyle w:val="16"/>
        </w:rPr>
        <w:footnoteRef/>
      </w:r>
      <w:r>
        <w:t xml:space="preserve"> </w:t>
      </w:r>
      <w:r>
        <w:rPr>
          <w:rFonts w:hint="eastAsia" w:ascii="Times New Roman" w:hAnsi="Times New Roman" w:eastAsia="宋体" w:cs="Times New Roman"/>
          <w:szCs w:val="18"/>
        </w:rPr>
        <w:t>中国市场伙伴实施基金赠款项目（P504267）的项目文件。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D2E7B6"/>
    <w:multiLevelType w:val="singleLevel"/>
    <w:tmpl w:val="BCD2E7B6"/>
    <w:lvl w:ilvl="0" w:tentative="0">
      <w:start w:val="1"/>
      <w:numFmt w:val="chineseCounting"/>
      <w:pStyle w:val="2"/>
      <w:suff w:val="nothing"/>
      <w:lvlText w:val="%1、"/>
      <w:lvlJc w:val="left"/>
      <w:pPr>
        <w:ind w:left="630"/>
      </w:pPr>
      <w:rPr>
        <w:rFonts w:hint="eastAsia" w:ascii="仿宋" w:hAnsi="仿宋" w:eastAsia="仿宋" w:cs="黑体"/>
      </w:rPr>
    </w:lvl>
  </w:abstractNum>
  <w:abstractNum w:abstractNumId="1">
    <w:nsid w:val="3DD24FCC"/>
    <w:multiLevelType w:val="multilevel"/>
    <w:tmpl w:val="3DD24FCC"/>
    <w:lvl w:ilvl="0" w:tentative="0">
      <w:start w:val="1"/>
      <w:numFmt w:val="lowerLetter"/>
      <w:lvlText w:val="%1."/>
      <w:lvlJc w:val="left"/>
      <w:pPr>
        <w:ind w:left="360" w:hanging="360"/>
      </w:pPr>
      <w:rPr>
        <w:rFonts w:hint="default"/>
        <w:i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ED418F5"/>
    <w:multiLevelType w:val="multilevel"/>
    <w:tmpl w:val="3ED418F5"/>
    <w:lvl w:ilvl="0" w:tentative="0">
      <w:start w:val="1"/>
      <w:numFmt w:val="lowerLetter"/>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451878E4"/>
    <w:multiLevelType w:val="multilevel"/>
    <w:tmpl w:val="451878E4"/>
    <w:lvl w:ilvl="0" w:tentative="0">
      <w:start w:val="1"/>
      <w:numFmt w:val="lowerLetter"/>
      <w:lvlText w:val="%1."/>
      <w:lvlJc w:val="left"/>
      <w:pPr>
        <w:ind w:left="360" w:hanging="360"/>
      </w:pPr>
      <w:rPr>
        <w:rFonts w:hint="default"/>
        <w:color w:val="auto"/>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67F"/>
    <w:rsid w:val="00050FD6"/>
    <w:rsid w:val="00054B52"/>
    <w:rsid w:val="00084027"/>
    <w:rsid w:val="000B3D3B"/>
    <w:rsid w:val="000C7666"/>
    <w:rsid w:val="000D18F0"/>
    <w:rsid w:val="000D3134"/>
    <w:rsid w:val="000E3717"/>
    <w:rsid w:val="000E42C4"/>
    <w:rsid w:val="00135ED0"/>
    <w:rsid w:val="00136A82"/>
    <w:rsid w:val="00141692"/>
    <w:rsid w:val="001523C7"/>
    <w:rsid w:val="0015514A"/>
    <w:rsid w:val="0016247F"/>
    <w:rsid w:val="00164587"/>
    <w:rsid w:val="00180A00"/>
    <w:rsid w:val="001A6523"/>
    <w:rsid w:val="001C2B67"/>
    <w:rsid w:val="00214797"/>
    <w:rsid w:val="00240262"/>
    <w:rsid w:val="002747DE"/>
    <w:rsid w:val="00281BC2"/>
    <w:rsid w:val="002872BD"/>
    <w:rsid w:val="0029375F"/>
    <w:rsid w:val="002E18C4"/>
    <w:rsid w:val="002E5883"/>
    <w:rsid w:val="002F3FAB"/>
    <w:rsid w:val="002F48ED"/>
    <w:rsid w:val="002F74F9"/>
    <w:rsid w:val="00301E04"/>
    <w:rsid w:val="00304109"/>
    <w:rsid w:val="00333EE7"/>
    <w:rsid w:val="003412AD"/>
    <w:rsid w:val="00367D62"/>
    <w:rsid w:val="00370E6F"/>
    <w:rsid w:val="00395090"/>
    <w:rsid w:val="003A2269"/>
    <w:rsid w:val="003E6D06"/>
    <w:rsid w:val="00400B26"/>
    <w:rsid w:val="0043110B"/>
    <w:rsid w:val="00436270"/>
    <w:rsid w:val="00437D4A"/>
    <w:rsid w:val="0044533A"/>
    <w:rsid w:val="004533AD"/>
    <w:rsid w:val="00456FDC"/>
    <w:rsid w:val="004668D1"/>
    <w:rsid w:val="004672C2"/>
    <w:rsid w:val="00483FF7"/>
    <w:rsid w:val="00493A41"/>
    <w:rsid w:val="004B1C3D"/>
    <w:rsid w:val="004E430D"/>
    <w:rsid w:val="004E5A07"/>
    <w:rsid w:val="00511672"/>
    <w:rsid w:val="00531548"/>
    <w:rsid w:val="00532CC5"/>
    <w:rsid w:val="005365B6"/>
    <w:rsid w:val="00543AA2"/>
    <w:rsid w:val="00570C49"/>
    <w:rsid w:val="005950E6"/>
    <w:rsid w:val="005C1720"/>
    <w:rsid w:val="005F1E31"/>
    <w:rsid w:val="005F460F"/>
    <w:rsid w:val="005F4890"/>
    <w:rsid w:val="006128F6"/>
    <w:rsid w:val="00631BCA"/>
    <w:rsid w:val="00632C2D"/>
    <w:rsid w:val="00670642"/>
    <w:rsid w:val="00681754"/>
    <w:rsid w:val="00685377"/>
    <w:rsid w:val="006D4432"/>
    <w:rsid w:val="006D624E"/>
    <w:rsid w:val="006E05A5"/>
    <w:rsid w:val="006E4976"/>
    <w:rsid w:val="006E6BEA"/>
    <w:rsid w:val="006E79F8"/>
    <w:rsid w:val="006E7FEF"/>
    <w:rsid w:val="006F082B"/>
    <w:rsid w:val="006F3CAB"/>
    <w:rsid w:val="007014DD"/>
    <w:rsid w:val="00701944"/>
    <w:rsid w:val="0073752D"/>
    <w:rsid w:val="00745DE4"/>
    <w:rsid w:val="00747038"/>
    <w:rsid w:val="00773C5D"/>
    <w:rsid w:val="007917AA"/>
    <w:rsid w:val="00793093"/>
    <w:rsid w:val="0079646C"/>
    <w:rsid w:val="007A182E"/>
    <w:rsid w:val="007A25F5"/>
    <w:rsid w:val="007A38B0"/>
    <w:rsid w:val="007B5EEF"/>
    <w:rsid w:val="007B7F7B"/>
    <w:rsid w:val="007D69D7"/>
    <w:rsid w:val="007E1AAC"/>
    <w:rsid w:val="007E2A70"/>
    <w:rsid w:val="007F6319"/>
    <w:rsid w:val="00813F77"/>
    <w:rsid w:val="0081438F"/>
    <w:rsid w:val="008219DF"/>
    <w:rsid w:val="00836024"/>
    <w:rsid w:val="00853B76"/>
    <w:rsid w:val="008709CB"/>
    <w:rsid w:val="008A2A2B"/>
    <w:rsid w:val="008A2ED1"/>
    <w:rsid w:val="008B749B"/>
    <w:rsid w:val="008C5ADB"/>
    <w:rsid w:val="008F772C"/>
    <w:rsid w:val="00912CCB"/>
    <w:rsid w:val="00916F91"/>
    <w:rsid w:val="00921176"/>
    <w:rsid w:val="00931CBF"/>
    <w:rsid w:val="0094267E"/>
    <w:rsid w:val="0094625E"/>
    <w:rsid w:val="009609F5"/>
    <w:rsid w:val="00963084"/>
    <w:rsid w:val="00985BCC"/>
    <w:rsid w:val="009A645B"/>
    <w:rsid w:val="009B19A4"/>
    <w:rsid w:val="009B56A7"/>
    <w:rsid w:val="009E4684"/>
    <w:rsid w:val="009F5B65"/>
    <w:rsid w:val="00A05230"/>
    <w:rsid w:val="00A0603E"/>
    <w:rsid w:val="00A3265C"/>
    <w:rsid w:val="00AB44BE"/>
    <w:rsid w:val="00AB707E"/>
    <w:rsid w:val="00AC015B"/>
    <w:rsid w:val="00AC31B1"/>
    <w:rsid w:val="00AF3F42"/>
    <w:rsid w:val="00B0131B"/>
    <w:rsid w:val="00B1130E"/>
    <w:rsid w:val="00B125E5"/>
    <w:rsid w:val="00B223C0"/>
    <w:rsid w:val="00B26A36"/>
    <w:rsid w:val="00B37F7C"/>
    <w:rsid w:val="00B44B99"/>
    <w:rsid w:val="00B73985"/>
    <w:rsid w:val="00B76F04"/>
    <w:rsid w:val="00BD019C"/>
    <w:rsid w:val="00BF6D16"/>
    <w:rsid w:val="00C068DB"/>
    <w:rsid w:val="00C3367F"/>
    <w:rsid w:val="00C35CE5"/>
    <w:rsid w:val="00C443CC"/>
    <w:rsid w:val="00C66C92"/>
    <w:rsid w:val="00C67537"/>
    <w:rsid w:val="00CA5769"/>
    <w:rsid w:val="00CB6DE7"/>
    <w:rsid w:val="00CC5289"/>
    <w:rsid w:val="00CC6F08"/>
    <w:rsid w:val="00CE3DF2"/>
    <w:rsid w:val="00CE584E"/>
    <w:rsid w:val="00CF3E4F"/>
    <w:rsid w:val="00D14C5D"/>
    <w:rsid w:val="00D24FC4"/>
    <w:rsid w:val="00D46C89"/>
    <w:rsid w:val="00D47217"/>
    <w:rsid w:val="00D670A2"/>
    <w:rsid w:val="00D85DA9"/>
    <w:rsid w:val="00D862CE"/>
    <w:rsid w:val="00D87985"/>
    <w:rsid w:val="00D915FC"/>
    <w:rsid w:val="00DA42D9"/>
    <w:rsid w:val="00DB0A69"/>
    <w:rsid w:val="00DC0E16"/>
    <w:rsid w:val="00DD2C70"/>
    <w:rsid w:val="00E04888"/>
    <w:rsid w:val="00E07C76"/>
    <w:rsid w:val="00E12314"/>
    <w:rsid w:val="00E13E37"/>
    <w:rsid w:val="00E170E0"/>
    <w:rsid w:val="00E42FE2"/>
    <w:rsid w:val="00E443B7"/>
    <w:rsid w:val="00E6171B"/>
    <w:rsid w:val="00E742E6"/>
    <w:rsid w:val="00E929E4"/>
    <w:rsid w:val="00F03BC6"/>
    <w:rsid w:val="00F353E4"/>
    <w:rsid w:val="00F40C20"/>
    <w:rsid w:val="00F42A9E"/>
    <w:rsid w:val="00F52737"/>
    <w:rsid w:val="00F574E4"/>
    <w:rsid w:val="00F622C0"/>
    <w:rsid w:val="00F67B39"/>
    <w:rsid w:val="00F9116E"/>
    <w:rsid w:val="00F96C90"/>
    <w:rsid w:val="00FA7C4E"/>
    <w:rsid w:val="00FB79CE"/>
    <w:rsid w:val="00FE631E"/>
    <w:rsid w:val="00FF010B"/>
    <w:rsid w:val="00FF062F"/>
    <w:rsid w:val="00FF3A80"/>
    <w:rsid w:val="012E4B8A"/>
    <w:rsid w:val="019C2576"/>
    <w:rsid w:val="03814E0F"/>
    <w:rsid w:val="07EC2E3C"/>
    <w:rsid w:val="08DA7138"/>
    <w:rsid w:val="094E3682"/>
    <w:rsid w:val="09641372"/>
    <w:rsid w:val="0C35E42D"/>
    <w:rsid w:val="0CFEE47C"/>
    <w:rsid w:val="0D686F53"/>
    <w:rsid w:val="0F59089C"/>
    <w:rsid w:val="10043F3E"/>
    <w:rsid w:val="13A27977"/>
    <w:rsid w:val="16D176F4"/>
    <w:rsid w:val="1AEB2ADF"/>
    <w:rsid w:val="1C5D4ED7"/>
    <w:rsid w:val="1C88406A"/>
    <w:rsid w:val="1F170346"/>
    <w:rsid w:val="1F3B1B69"/>
    <w:rsid w:val="202D3237"/>
    <w:rsid w:val="20E6BB0C"/>
    <w:rsid w:val="239F5928"/>
    <w:rsid w:val="26A03187"/>
    <w:rsid w:val="2B5446D0"/>
    <w:rsid w:val="2D3C01F6"/>
    <w:rsid w:val="3140318A"/>
    <w:rsid w:val="3527393B"/>
    <w:rsid w:val="3751774D"/>
    <w:rsid w:val="375F0685"/>
    <w:rsid w:val="38D45D01"/>
    <w:rsid w:val="3CF955DB"/>
    <w:rsid w:val="3DD32530"/>
    <w:rsid w:val="3EA621D7"/>
    <w:rsid w:val="3EF73207"/>
    <w:rsid w:val="3FBA2648"/>
    <w:rsid w:val="40BFE7C9"/>
    <w:rsid w:val="43A74FFB"/>
    <w:rsid w:val="46A7548A"/>
    <w:rsid w:val="48A85F90"/>
    <w:rsid w:val="48CCBB1C"/>
    <w:rsid w:val="4D8F592B"/>
    <w:rsid w:val="4D9B1658"/>
    <w:rsid w:val="4E41243B"/>
    <w:rsid w:val="4EF54A8A"/>
    <w:rsid w:val="510D197F"/>
    <w:rsid w:val="521C79A8"/>
    <w:rsid w:val="52C673B2"/>
    <w:rsid w:val="52F28A5B"/>
    <w:rsid w:val="53D054B8"/>
    <w:rsid w:val="545A11DC"/>
    <w:rsid w:val="584E68E9"/>
    <w:rsid w:val="5B20058F"/>
    <w:rsid w:val="5B6BA06D"/>
    <w:rsid w:val="5DDF5128"/>
    <w:rsid w:val="5E8923FC"/>
    <w:rsid w:val="5F9C6AF4"/>
    <w:rsid w:val="60F2A28F"/>
    <w:rsid w:val="62665C20"/>
    <w:rsid w:val="633F5AA5"/>
    <w:rsid w:val="653D2A3B"/>
    <w:rsid w:val="6A221420"/>
    <w:rsid w:val="6A62486A"/>
    <w:rsid w:val="6ACEB668"/>
    <w:rsid w:val="6BA23CE4"/>
    <w:rsid w:val="6DA87988"/>
    <w:rsid w:val="6ED251E8"/>
    <w:rsid w:val="76DC0CC3"/>
    <w:rsid w:val="791813CF"/>
    <w:rsid w:val="79643252"/>
    <w:rsid w:val="7A7FAD88"/>
    <w:rsid w:val="7B0E336E"/>
    <w:rsid w:val="7FAB1A76"/>
    <w:rsid w:val="7FB7283D"/>
    <w:rsid w:val="BFA37442"/>
    <w:rsid w:val="DFD50E65"/>
    <w:rsid w:val="FBB593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numPr>
        <w:ilvl w:val="0"/>
        <w:numId w:val="1"/>
      </w:numPr>
      <w:outlineLvl w:val="0"/>
    </w:pPr>
    <w:rPr>
      <w:rFonts w:ascii="黑体" w:hAnsi="黑体" w:eastAsia="黑体" w:cs="黑体"/>
      <w:sz w:val="32"/>
      <w:szCs w:val="32"/>
    </w:rPr>
  </w:style>
  <w:style w:type="paragraph" w:styleId="3">
    <w:name w:val="heading 2"/>
    <w:basedOn w:val="1"/>
    <w:next w:val="1"/>
    <w:unhideWhenUsed/>
    <w:qFormat/>
    <w:uiPriority w:val="0"/>
    <w:pPr>
      <w:adjustRightInd w:val="0"/>
      <w:snapToGrid w:val="0"/>
      <w:spacing w:line="360" w:lineRule="auto"/>
      <w:ind w:firstLine="640" w:firstLineChars="200"/>
      <w:outlineLvl w:val="1"/>
    </w:pPr>
    <w:rPr>
      <w:rFonts w:ascii="楷体" w:hAnsi="楷体" w:eastAsia="楷体" w:cs="仿宋"/>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ind w:firstLine="420" w:firstLineChars="200"/>
    </w:pPr>
  </w:style>
  <w:style w:type="paragraph" w:styleId="5">
    <w:name w:val="caption"/>
    <w:basedOn w:val="1"/>
    <w:next w:val="1"/>
    <w:semiHidden/>
    <w:unhideWhenUsed/>
    <w:qFormat/>
    <w:uiPriority w:val="0"/>
    <w:rPr>
      <w:rFonts w:ascii="Times New Roman" w:hAnsi="Times New Roman" w:eastAsia="黑体"/>
      <w:sz w:val="28"/>
      <w:szCs w:val="28"/>
    </w:rPr>
  </w:style>
  <w:style w:type="paragraph" w:styleId="6">
    <w:name w:val="annotation text"/>
    <w:basedOn w:val="1"/>
    <w:link w:val="20"/>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footnote text"/>
    <w:basedOn w:val="1"/>
    <w:qFormat/>
    <w:uiPriority w:val="0"/>
    <w:pPr>
      <w:snapToGrid w:val="0"/>
      <w:jc w:val="left"/>
    </w:pPr>
    <w:rPr>
      <w:sz w:val="18"/>
    </w:rPr>
  </w:style>
  <w:style w:type="paragraph" w:styleId="10">
    <w:name w:val="annotation subject"/>
    <w:basedOn w:val="6"/>
    <w:next w:val="6"/>
    <w:link w:val="21"/>
    <w:qFormat/>
    <w:uiPriority w:val="0"/>
    <w:rPr>
      <w:b/>
      <w:bCs/>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annotation reference"/>
    <w:basedOn w:val="13"/>
    <w:qFormat/>
    <w:uiPriority w:val="0"/>
    <w:rPr>
      <w:sz w:val="21"/>
      <w:szCs w:val="21"/>
    </w:rPr>
  </w:style>
  <w:style w:type="character" w:styleId="16">
    <w:name w:val="footnote reference"/>
    <w:basedOn w:val="13"/>
    <w:qFormat/>
    <w:uiPriority w:val="0"/>
    <w:rPr>
      <w:vertAlign w:val="superscript"/>
    </w:rPr>
  </w:style>
  <w:style w:type="paragraph" w:customStyle="1" w:styleId="17">
    <w:name w:val="表1"/>
    <w:basedOn w:val="1"/>
    <w:qFormat/>
    <w:uiPriority w:val="0"/>
    <w:pPr>
      <w:wordWrap w:val="0"/>
      <w:jc w:val="center"/>
      <w:outlineLvl w:val="3"/>
    </w:pPr>
    <w:rPr>
      <w:rFonts w:ascii="Times New Roman" w:hAnsi="Times New Roman" w:eastAsia="黑体" w:cs="Times New Roman"/>
      <w:sz w:val="28"/>
      <w:szCs w:val="28"/>
    </w:rPr>
  </w:style>
  <w:style w:type="paragraph" w:customStyle="1" w:styleId="18">
    <w:name w:val="黑体三号"/>
    <w:basedOn w:val="1"/>
    <w:qFormat/>
    <w:uiPriority w:val="0"/>
    <w:pPr>
      <w:wordWrap w:val="0"/>
      <w:ind w:firstLine="640" w:firstLineChars="200"/>
      <w:outlineLvl w:val="0"/>
    </w:pPr>
    <w:rPr>
      <w:rFonts w:ascii="Times New Roman" w:hAnsi="Times New Roman" w:eastAsia="黑体" w:cs="Times New Roman"/>
      <w:sz w:val="32"/>
      <w:szCs w:val="32"/>
    </w:rPr>
  </w:style>
  <w:style w:type="paragraph" w:customStyle="1" w:styleId="19">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0">
    <w:name w:val="Comment Text Char"/>
    <w:basedOn w:val="13"/>
    <w:link w:val="6"/>
    <w:qFormat/>
    <w:uiPriority w:val="0"/>
    <w:rPr>
      <w:rFonts w:asciiTheme="minorHAnsi" w:hAnsiTheme="minorHAnsi" w:eastAsiaTheme="minorEastAsia" w:cstheme="minorBidi"/>
      <w:kern w:val="2"/>
      <w:sz w:val="21"/>
      <w:szCs w:val="24"/>
    </w:rPr>
  </w:style>
  <w:style w:type="character" w:customStyle="1" w:styleId="21">
    <w:name w:val="Comment Subject Char"/>
    <w:basedOn w:val="20"/>
    <w:link w:val="10"/>
    <w:qFormat/>
    <w:uiPriority w:val="0"/>
    <w:rPr>
      <w:rFonts w:asciiTheme="minorHAnsi" w:hAnsiTheme="minorHAnsi" w:eastAsiaTheme="minorEastAsia" w:cstheme="minorBidi"/>
      <w:b/>
      <w:bCs/>
      <w:kern w:val="2"/>
      <w:sz w:val="21"/>
      <w:szCs w:val="24"/>
    </w:rPr>
  </w:style>
  <w:style w:type="paragraph" w:customStyle="1" w:styleId="22">
    <w:name w:val="Revision1"/>
    <w:hidden/>
    <w:unhideWhenUsed/>
    <w:qFormat/>
    <w:uiPriority w:val="99"/>
    <w:rPr>
      <w:rFonts w:asciiTheme="minorHAnsi" w:hAnsiTheme="minorHAnsi" w:eastAsiaTheme="minorEastAsia" w:cstheme="minorBidi"/>
      <w:kern w:val="2"/>
      <w:sz w:val="21"/>
      <w:szCs w:val="24"/>
      <w:lang w:val="en-US" w:eastAsia="zh-CN" w:bidi="ar-SA"/>
    </w:rPr>
  </w:style>
  <w:style w:type="paragraph" w:styleId="23">
    <w:name w:val="List Paragraph"/>
    <w:basedOn w:val="1"/>
    <w:qFormat/>
    <w:uiPriority w:val="34"/>
    <w:pPr>
      <w:ind w:left="720"/>
      <w:contextualSpacing/>
    </w:pPr>
  </w:style>
  <w:style w:type="paragraph" w:customStyle="1" w:styleId="24">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mso-contentType ?>
<FormTemplates xmlns="http://schemas.microsoft.com/sharepoint/v3/contenttype/forms">
  <Display xmlns="http://schemas.microsoft.com/sharepoint/v3/contenttype/forms">DocumentLibraryForm</Display>
  <Edit xmlns="http://schemas.microsoft.com/sharepoint/v3/contenttype/forms">DocumentLibraryForm</Edit>
  <New xmlns="http://schemas.microsoft.com/sharepoint/v3/contenttype/forms">DocumentLibraryForm</New>
</FormTemplates>
</file>

<file path=customXml/item3.xml><?xml version="1.0" encoding="utf-8"?>
<ct:contentTypeSchema xmlns:ct="http://schemas.microsoft.com/office/2006/metadata/contentType" contentTypeID="0x010100F4C63C3BD852AE468EAEFD0E6C57C64F02008C015598D0747D4283BB1F9D49ADADC6" contentTypeVersion="21" contentTypeDescription="" contentTypeScope="" contentTypeName="WBDocument" versionID="793720ccac36104286da29796a69d008" _="">
  <xsd:schema xmlns:xsd="http://www.w3.org/2001/XMLSchema" xmlns:ma="http://schemas.microsoft.com/office/2006/metadata/properties/metaAttributes" ma:root="true" targetNamespace="http://schemas.microsoft.com/office/2006/metadata/properties" ma:fieldsID="0b45970f5a227ce107450d300e422142" _="">
    <xsd:import xmlns:xsd="http://www.w3.org/2001/XMLSchema" namespace="3e02667f-0271-471b-bd6e-11a2e16def1d"/>
    <xsd:element xmlns:xsd="http://www.w3.org/2001/XMLSchema" name="properties">
      <xsd:complexType xmlns:xsd="http://www.w3.org/2001/XMLSchema">
        <xsd:sequence xmlns:xsd="http://www.w3.org/2001/XMLSchema">
          <xsd:element xmlns:xsd="http://www.w3.org/2001/XMLSchema" name="documentManagement">
            <xsd:complexType xmlns:xsd="http://www.w3.org/2001/XMLSchema">
              <xsd:all xmlns:xsd="http://www.w3.org/2001/XMLSchema">
                <xsd:element xmlns:xsd="http://www.w3.org/2001/XMLSchema" minOccurs="0" ref="ns3:WBDocs_Document_Date"/>
                <xsd:element xmlns:xsd="http://www.w3.org/2001/XMLSchema" ref="ns3:WBDocs_Information_Classification"/>
                <xsd:element xmlns:xsd="http://www.w3.org/2001/XMLSchema" minOccurs="0" ref="ns3:TaxCatchAll"/>
                <xsd:element xmlns:xsd="http://www.w3.org/2001/XMLSchema" minOccurs="0" ref="ns3:TaxCatchAllLabel"/>
                <xsd:element xmlns:xsd="http://www.w3.org/2001/XMLSchema" minOccurs="0" ref="ns3:_dlc_DocId"/>
                <xsd:element xmlns:xsd="http://www.w3.org/2001/XMLSchema" minOccurs="0" ref="ns3:_dlc_DocIdUrl"/>
                <xsd:element xmlns:xsd="http://www.w3.org/2001/XMLSchema" minOccurs="0" ref="ns3:_dlc_DocIdPersistId"/>
                <xsd:element xmlns:xsd="http://www.w3.org/2001/XMLSchema" minOccurs="0" ref="ns3:WBDocs_Access_To_Info_Exception"/>
                <xsd:element xmlns:xsd="http://www.w3.org/2001/XMLSchema" minOccurs="0" ref="ns3:o1cb080a3dca4eb8a0fd03c7cc8bf8f7"/>
                <xsd:element xmlns:xsd="http://www.w3.org/2001/XMLSchema" minOccurs="0" ref="ns3:i008215bacac45029ee8cafff4c8e93b"/>
                <xsd:element xmlns:xsd="http://www.w3.org/2001/XMLSchema" minOccurs="0" ref="ns3:OneCMS_Subcategory"/>
                <xsd:element xmlns:xsd="http://www.w3.org/2001/XMLSchema" minOccurs="0" ref="ns3:OneCMS_Category"/>
                <xsd:element xmlns:xsd="http://www.w3.org/2001/XMLSchema" minOccurs="0" ref="ns3:Abstract"/>
              </xsd:all>
            </xsd:complexType>
          </xsd:element>
        </xsd:sequence>
      </xsd:complexType>
    </xsd:element>
  </xsd:schema>
  <xsd:schema xmlns:xsd="http://www.w3.org/2001/XMLSchema" targetNamespace="3e02667f-0271-471b-bd6e-11a2e16def1d" elementFormDefault="qualified">
    <xsd:import xmlns:xsd="http://www.w3.org/2001/XMLSchema" namespace="http://schemas.microsoft.com/office/2006/documentManagement/types"/>
    <xsd:import xmlns:xsd="http://www.w3.org/2001/XMLSchema" namespace="http://schemas.microsoft.com/office/infopath/2007/PartnerControls"/>
    <xsd:element xmlns:xsd="http://www.w3.org/2001/XMLSchema" xmlns:ma="http://schemas.microsoft.com/office/2006/metadata/properties/metaAttributes" nillable="true" ma:internalName="WBDocs_Document_Date" ma:index="3" ma:displayName="Document Date" ma:format="DateTime" ma:readOnly="false" name="WBDocs_Document_Date" ma:default="[today]">
      <xsd:simpleType xmlns:xsd="http://www.w3.org/2001/XMLSchema">
        <xsd:restriction xmlns:xsd="http://www.w3.org/2001/XMLSchema" base="dms:DateTime"/>
      </xsd:simpleType>
    </xsd:element>
    <xsd:element xmlns:xsd="http://www.w3.org/2001/XMLSchema" xmlns:ma="http://schemas.microsoft.com/office/2006/metadata/properties/metaAttributes" ma:internalName="WBDocs_Information_Classification" ma:index="4" ma:displayName="Information Classification" ma:format="Dropdown" ma:readOnly="false" name="WBDocs_Information_Classification" ma:default="Official Use Only">
      <xsd:simpleType xmlns:xsd="http://www.w3.org/2001/XMLSchema">
        <xsd:restriction xmlns:xsd="http://www.w3.org/2001/XMLSchema" base="dms:Choice">
          <xsd:enumeration xmlns:xsd="http://www.w3.org/2001/XMLSchema" value="Public"/>
          <xsd:enumeration xmlns:xsd="http://www.w3.org/2001/XMLSchema" value="Official Use Only"/>
          <xsd:enumeration xmlns:xsd="http://www.w3.org/2001/XMLSchema" value="Confidential"/>
          <xsd:enumeration xmlns:xsd="http://www.w3.org/2001/XMLSchema" value="Strictly Confidential"/>
        </xsd:restriction>
      </xsd:simpleType>
    </xsd:element>
    <xsd:element xmlns:xsd="http://www.w3.org/2001/XMLSchema" xmlns:ma="http://schemas.microsoft.com/office/2006/metadata/properties/metaAttributes" nillable="true" ma:internalName="TaxCatchAll" ma:showField="CatchAllData" ma:index="6" ma:displayName="Taxonomy Catch All Column" ma:hidden="true" ma:list="{16aa8994-a05b-49f1-92e2-ade3831271c5}" name="TaxCatchAll" ma:web="55412a85-6e69-42a4-8c20-5128caeef093">
      <xsd:complexType xmlns:xsd="http://www.w3.org/2001/XMLSchema">
        <xsd:complexContent xmlns:xsd="http://www.w3.org/2001/XMLSchema">
          <xsd:extension xmlns:xsd="http://www.w3.org/2001/XMLSchema" base="dms:MultiChoiceLookup">
            <xsd:sequence xmlns:xsd="http://www.w3.org/2001/XMLSchema">
              <xsd:element xmlns:xsd="http://www.w3.org/2001/XMLSchema" nillable="true" maxOccurs="unbounded" minOccurs="0" type="dms:Lookup" name="Value"/>
            </xsd:sequence>
          </xsd:extension>
        </xsd:complexContent>
      </xsd:complexType>
    </xsd:element>
    <xsd:element xmlns:xsd="http://www.w3.org/2001/XMLSchema" xmlns:ma="http://schemas.microsoft.com/office/2006/metadata/properties/metaAttributes" nillable="true" ma:internalName="TaxCatchAllLabel" ma:showField="CatchAllDataLabel" ma:index="7" ma:displayName="Taxonomy Catch All Column1" ma:readOnly="true" ma:hidden="true" ma:list="{16aa8994-a05b-49f1-92e2-ade3831271c5}" name="TaxCatchAllLabel" ma:web="55412a85-6e69-42a4-8c20-5128caeef093">
      <xsd:complexType xmlns:xsd="http://www.w3.org/2001/XMLSchema">
        <xsd:complexContent xmlns:xsd="http://www.w3.org/2001/XMLSchema">
          <xsd:extension xmlns:xsd="http://www.w3.org/2001/XMLSchema" base="dms:MultiChoiceLookup">
            <xsd:sequence xmlns:xsd="http://www.w3.org/2001/XMLSchema">
              <xsd:element xmlns:xsd="http://www.w3.org/2001/XMLSchema" nillable="true" maxOccurs="unbounded" minOccurs="0" type="dms:Lookup" name="Value"/>
            </xsd:sequence>
          </xsd:extension>
        </xsd:complexContent>
      </xsd:complexType>
    </xsd:element>
    <xsd:element xmlns:xsd="http://www.w3.org/2001/XMLSchema" xmlns:ma="http://schemas.microsoft.com/office/2006/metadata/properties/metaAttributes" nillable="true" ma:internalName="_dlc_DocId" ma:index="10" ma:displayName="Document ID Value" ma:description="The value of the document ID assigned to this item." ma:readOnly="true" name="_dlc_DocId">
      <xsd:simpleType xmlns:xsd="http://www.w3.org/2001/XMLSchema">
        <xsd:restriction xmlns:xsd="http://www.w3.org/2001/XMLSchema" base="dms:Text"/>
      </xsd:simpleType>
    </xsd:element>
    <xsd:element xmlns:xsd="http://www.w3.org/2001/XMLSchema" xmlns:ma="http://schemas.microsoft.com/office/2006/metadata/properties/metaAttributes" nillable="true" ma:internalName="_dlc_DocIdUrl" ma:index="11" ma:displayName="Document ID" ma:description="Permanent link to this document." ma:readOnly="true" ma:hidden="true" name="_dlc_DocIdUrl">
      <xsd:complexType xmlns:xsd="http://www.w3.org/2001/XMLSchema">
        <xsd:complexContent xmlns:xsd="http://www.w3.org/2001/XMLSchema">
          <xsd:extension xmlns:xsd="http://www.w3.org/2001/XMLSchema" base="dms:URL">
            <xsd:sequence xmlns:xsd="http://www.w3.org/2001/XMLSchema">
              <xsd:element xmlns:xsd="http://www.w3.org/2001/XMLSchema" nillable="true" minOccurs="0" type="dms:ValidUrl" name="Url"/>
              <xsd:element xmlns:xsd="http://www.w3.org/2001/XMLSchema" nillable="true" type="xsd:string" name="Description"/>
            </xsd:sequence>
          </xsd:extension>
        </xsd:complexContent>
      </xsd:complexType>
    </xsd:element>
    <xsd:element xmlns:xsd="http://www.w3.org/2001/XMLSchema" xmlns:ma="http://schemas.microsoft.com/office/2006/metadata/properties/metaAttributes" nillable="true" ma:internalName="_dlc_DocIdPersistId" ma:index="12" ma:displayName="Persist ID" ma:description="Keep ID on add." ma:readOnly="true" ma:hidden="true" name="_dlc_DocIdPersistId">
      <xsd:simpleType xmlns:xsd="http://www.w3.org/2001/XMLSchema">
        <xsd:restriction xmlns:xsd="http://www.w3.org/2001/XMLSchema" base="dms:Boolean"/>
      </xsd:simpleType>
    </xsd:element>
    <xsd:element xmlns:xsd="http://www.w3.org/2001/XMLSchema" xmlns:ma="http://schemas.microsoft.com/office/2006/metadata/properties/metaAttributes" nillable="true" ma:internalName="WBDocs_Access_To_Info_Exception" ma:index="13" ma:displayName="Access to Info Exception" ma:format="Dropdown" name="WBDocs_Access_To_Info_Exception" ma:default="12. Not Assessed">
      <xsd:simpleType xmlns:xsd="http://www.w3.org/2001/XMLSchema">
        <xsd:restriction xmlns:xsd="http://www.w3.org/2001/XMLSchema" base="dms:Choice">
          <xsd:enumeration xmlns:xsd="http://www.w3.org/2001/XMLSchema" value="1. Personal"/>
          <xsd:enumeration xmlns:xsd="http://www.w3.org/2001/XMLSchema" value="2. Executive Director's Communications"/>
          <xsd:enumeration xmlns:xsd="http://www.w3.org/2001/XMLSchema" value="3. Board Ethics Committee"/>
          <xsd:enumeration xmlns:xsd="http://www.w3.org/2001/XMLSchema" value="4. Attorney-Client Privilege"/>
          <xsd:enumeration xmlns:xsd="http://www.w3.org/2001/XMLSchema" value="5. Security &amp; Safety"/>
          <xsd:enumeration xmlns:xsd="http://www.w3.org/2001/XMLSchema" value="6. Other Disclosure Regimes"/>
          <xsd:enumeration xmlns:xsd="http://www.w3.org/2001/XMLSchema" value="7. Client / Third Party Confidence"/>
          <xsd:enumeration xmlns:xsd="http://www.w3.org/2001/XMLSchema" value="8. Corporate/Administrative"/>
          <xsd:enumeration xmlns:xsd="http://www.w3.org/2001/XMLSchema" value="9. Deliberative"/>
          <xsd:enumeration xmlns:xsd="http://www.w3.org/2001/XMLSchema" value="10a-c. Financial - Forecast/Analysis/Transactions"/>
          <xsd:enumeration xmlns:xsd="http://www.w3.org/2001/XMLSchema" value="10d. Financial - Banking &amp; Billing"/>
          <xsd:enumeration xmlns:xsd="http://www.w3.org/2001/XMLSchema" value="11. Bank's Prerogative to Restrict"/>
          <xsd:enumeration xmlns:xsd="http://www.w3.org/2001/XMLSchema" value="12. Not Assessed"/>
          <xsd:enumeration xmlns:xsd="http://www.w3.org/2001/XMLSchema" value="13. Not Applicable"/>
          <xsd:enumeration xmlns:xsd="http://www.w3.org/2001/XMLSchema" value="Unknown Policy Restriction"/>
        </xsd:restriction>
      </xsd:simpleType>
    </xsd:element>
    <xsd:element xmlns:ma="http://schemas.microsoft.com/office/2006/metadata/properties/metaAttributes" xmlns:xsd="http://www.w3.org/2001/XMLSchema" name="o1cb080a3dca4eb8a0fd03c7cc8bf8f7" ma:index="15" ma:readOnly="false" ma:open="false" ma:displayName="Local Document Type" ma:anchorId="00000000-0000-0000-0000-000000000000" ma:fieldId="{81cb080a-3dca-4eb8-a0fd-03c7cc8bf8f7}" ma:termSetId="ec380048-e675-43f7-9194-41567bcb0af6" nillable="true" ma:default="" ma:taxonomyFieldName="WBDocs_Local_Document_Type" ma:taxonomy="true" ma:internalName="o1cb080a3dca4eb8a0fd03c7cc8bf8f7" ma:sspId="2a6c10d7-b926-4fc0-945e-3cbf5049f6bd" ma:taxonomyMulti="true" ma:isKeyword="false">
      <xsd:complexType xmlns:xsd="http://www.w3.org/2001/XMLSchema">
        <xsd:sequence xmlns:xsd="http://www.w3.org/2001/XMLSchema">
          <xsd:element xmlns:xsd="http://www.w3.org/2001/XMLSchema" maxOccurs="1" minOccurs="0" ref="pc:Terms"/>
        </xsd:sequence>
      </xsd:complexType>
    </xsd:element>
    <xsd:element xmlns:ma="http://schemas.microsoft.com/office/2006/metadata/properties/metaAttributes" xmlns:xsd="http://www.w3.org/2001/XMLSchema" name="i008215bacac45029ee8cafff4c8e93b" ma:index="17" ma:readOnly="false" ma:open="false" ma:displayName="Originating unit" ma:anchorId="00000000-0000-0000-0000-000000000000" ma:fieldId="{2008215b-acac-4502-9ee8-cafff4c8e93b}" ma:termSetId="806c0147-d557-463e-8bb0-983f4f318bd5" nillable="true" ma:default="5;#EACCF - WB Off: Beijing|2435c311-dfa9-4ae1-8e70-c51f57abf81a" ma:taxonomyFieldName="WBDocs_Originating_Unit" ma:taxonomy="true" ma:internalName="i008215bacac45029ee8cafff4c8e93b" ma:sspId="2a6c10d7-b926-4fc0-945e-3cbf5049f6bd" ma:taxonomyMulti="true" ma:isKeyword="false">
      <xsd:complexType xmlns:xsd="http://www.w3.org/2001/XMLSchema">
        <xsd:sequence xmlns:xsd="http://www.w3.org/2001/XMLSchema">
          <xsd:element xmlns:xsd="http://www.w3.org/2001/XMLSchema" maxOccurs="1" minOccurs="0" ref="pc:Terms"/>
        </xsd:sequence>
      </xsd:complexType>
    </xsd:element>
    <xsd:element xmlns:xsd="http://www.w3.org/2001/XMLSchema" xmlns:ma="http://schemas.microsoft.com/office/2006/metadata/properties/metaAttributes" nillable="true" ma:internalName="OneCMS_Subcategory" ma:index="21" ma:displayName="Subcategory" ma:readOnly="false" ma:hidden="true" name="OneCMS_Subcategory">
      <xsd:simpleType xmlns:xsd="http://www.w3.org/2001/XMLSchema">
        <xsd:restriction xmlns:xsd="http://www.w3.org/2001/XMLSchema" base="dms:Text"/>
      </xsd:simpleType>
    </xsd:element>
    <xsd:element xmlns:xsd="http://www.w3.org/2001/XMLSchema" xmlns:ma="http://schemas.microsoft.com/office/2006/metadata/properties/metaAttributes" nillable="true" ma:internalName="OneCMS_Category" ma:index="22" ma:displayName="Category" ma:readOnly="false" ma:hidden="true" name="OneCMS_Category">
      <xsd:simpleType xmlns:xsd="http://www.w3.org/2001/XMLSchema">
        <xsd:restriction xmlns:xsd="http://www.w3.org/2001/XMLSchema" base="dms:Text"/>
      </xsd:simpleType>
    </xsd:element>
    <xsd:element xmlns:xsd="http://www.w3.org/2001/XMLSchema" xmlns:ma="http://schemas.microsoft.com/office/2006/metadata/properties/metaAttributes" nillable="true" ma:internalName="Abstract" ma:index="23" ma:displayName="Abstract" ma:readOnly="false" ma:hidden="true" name="Abstract">
      <xsd:simpleType xmlns:xsd="http://www.w3.org/2001/XMLSchema">
        <xsd:restriction xmlns:xsd="http://www.w3.org/2001/XMLSchema" base="dms:Note"/>
      </xsd:simpleType>
    </xsd:element>
  </xsd:schema>
  <xsd:schema xmlns:xsd="http://www.w3.org/2001/XMLSchema" attributeFormDefault="unqualified" blockDefault="#all" targetNamespace="http://schemas.openxmlformats.org/package/2006/metadata/core-properties" elementFormDefault="qualified">
    <xsd:import xmlns:xsd="http://www.w3.org/2001/XMLSchema" namespace="http://purl.org/dc/elements/1.1/" schemaLocation="http://dublincore.org/schemas/xmls/qdc/2003/04/02/dc.xsd"/>
    <xsd:import xmlns:xsd="http://www.w3.org/2001/XMLSchema" namespace="http://purl.org/dc/terms/" schemaLocation="http://dublincore.org/schemas/xmls/qdc/2003/04/02/dcterms.xsd"/>
    <xsd:element xmlns:xsd="http://www.w3.org/2001/XMLSchema" type="CT_coreProperties" name="coreProperties"/>
    <xsd:complexType xmlns:xsd="http://www.w3.org/2001/XMLSchema" name="CT_coreProperties">
      <xsd:all xmlns:xsd="http://www.w3.org/2001/XMLSchema">
        <xsd:element xmlns:xsd="http://www.w3.org/2001/XMLSchema" xmlns:ma="http://schemas.microsoft.com/office/2006/metadata/properties/metaAttributes" maxOccurs="1" minOccurs="0" ma:index="2" ma:displayName="Author" ref="dc:creator"/>
        <xsd:element xmlns:xsd="http://www.w3.org/2001/XMLSchema" maxOccurs="1" minOccurs="0" ref="dcterms:created"/>
        <xsd:element xmlns:xsd="http://www.w3.org/2001/XMLSchema" maxOccurs="1" minOccurs="0" ref="dc:identifier"/>
        <xsd:element xmlns:xsd="http://www.w3.org/2001/XMLSchema" xmlns:ma="http://schemas.microsoft.com/office/2006/metadata/properties/metaAttributes" maxOccurs="1" minOccurs="0" ma:index="19" ma:displayName="Content Type" type="xsd:string" name="contentType"/>
        <xsd:element xmlns:xsd="http://www.w3.org/2001/XMLSchema" xmlns:ma="http://schemas.microsoft.com/office/2006/metadata/properties/metaAttributes" maxOccurs="1" minOccurs="0" ma:index="1" ma:displayName="Title" ref="dc:title"/>
        <xsd:element xmlns:xsd="http://www.w3.org/2001/XMLSchema" maxOccurs="1" minOccurs="0" ref="dc:subject"/>
        <xsd:element xmlns:xsd="http://www.w3.org/2001/XMLSchema" maxOccurs="1" minOccurs="0" ref="dc:description"/>
        <xsd:element xmlns:xsd="http://www.w3.org/2001/XMLSchema" maxOccurs="1" minOccurs="0" type="xsd:string" name="keywords"/>
        <xsd:element xmlns:xsd="http://www.w3.org/2001/XMLSchema" maxOccurs="1" minOccurs="0" ref="dc:language"/>
        <xsd:element xmlns:xsd="http://www.w3.org/2001/XMLSchema" maxOccurs="1" minOccurs="0" type="xsd:string" name="category"/>
        <xsd:element xmlns:xsd="http://www.w3.org/2001/XMLSchema" maxOccurs="1" minOccurs="0" type="xsd:string" name="version"/>
        <xsd:element xmlns:xsd="http://www.w3.org/2001/XMLSchema" maxOccurs="1" minOccurs="0" type="xsd:string" name="revision">
          <xsd:annotation xmlns:xsd="http://www.w3.org/2001/XMLSchema">
            <xsd:documentation xmlns:xsd="http://www.w3.org/2001/XMLSchema">
                        This value indicates the number of saves or revisions. The application is responsible for updating this value after each revision.
                    </xsd:documentation>
          </xsd:annotation>
        </xsd:element>
        <xsd:element xmlns:xsd="http://www.w3.org/2001/XMLSchema" maxOccurs="1" minOccurs="0" type="xsd:string" name="lastModifiedBy"/>
        <xsd:element xmlns:xsd="http://www.w3.org/2001/XMLSchema" maxOccurs="1" minOccurs="0" ref="dcterms:modified"/>
        <xsd:element xmlns:xsd="http://www.w3.org/2001/XMLSchema" maxOccurs="1" minOccurs="0" type="xsd:string" name="contentStatus"/>
      </xsd:all>
    </xsd:complexType>
  </xsd:schema>
  <xs:schema xmlns:xs="http://www.w3.org/2001/XMLSchema" attributeFormDefault="unqualified" targetNamespace="http://schemas.microsoft.com/office/infopath/2007/PartnerControls" elementFormDefault="qualified">
    <xs:element xmlns:xs="http://www.w3.org/2001/XMLSchema" name="Person">
      <xs:complexType xmlns:xs="http://www.w3.org/2001/XMLSchema">
        <xs:sequence xmlns:xs="http://www.w3.org/2001/XMLSchema">
          <xs:element xmlns:xs="http://www.w3.org/2001/XMLSchema" minOccurs="0" ref="pc:DisplayName"/>
          <xs:element xmlns:xs="http://www.w3.org/2001/XMLSchema" minOccurs="0" ref="pc:AccountId"/>
          <xs:element xmlns:xs="http://www.w3.org/2001/XMLSchema" minOccurs="0" ref="pc:AccountType"/>
        </xs:sequence>
      </xs:complexType>
    </xs:element>
    <xs:element xmlns:xs="http://www.w3.org/2001/XMLSchema" type="xs:string" name="DisplayName"/>
    <xs:element xmlns:xs="http://www.w3.org/2001/XMLSchema" type="xs:string" name="AccountId"/>
    <xs:element xmlns:xs="http://www.w3.org/2001/XMLSchema" type="xs:string" name="AccountType"/>
    <xs:element xmlns:xs="http://www.w3.org/2001/XMLSchema" name="BDCAssociatedEntity">
      <xs:complexType xmlns:xs="http://www.w3.org/2001/XMLSchema">
        <xs:sequence xmlns:xs="http://www.w3.org/2001/XMLSchema">
          <xs:element xmlns:xs="http://www.w3.org/2001/XMLSchema" maxOccurs="unbounded" minOccurs="0" ref="pc:BDCEntity"/>
        </xs:sequence>
        <xs:attribute xmlns:xs="http://www.w3.org/2001/XMLSchema" ref="pc:EntityNamespace"/>
        <xs:attribute xmlns:xs="http://www.w3.org/2001/XMLSchema" ref="pc:EntityName"/>
        <xs:attribute xmlns:xs="http://www.w3.org/2001/XMLSchema" ref="pc:SystemInstanceName"/>
        <xs:attribute xmlns:xs="http://www.w3.org/2001/XMLSchema" ref="pc:AssociationName"/>
      </xs:complexType>
    </xs:element>
    <xs:attribute xmlns:xs="http://www.w3.org/2001/XMLSchema" type="xs:string" name="EntityNamespace"/>
    <xs:attribute xmlns:xs="http://www.w3.org/2001/XMLSchema" type="xs:string" name="EntityName"/>
    <xs:attribute xmlns:xs="http://www.w3.org/2001/XMLSchema" type="xs:string" name="SystemInstanceName"/>
    <xs:attribute xmlns:xs="http://www.w3.org/2001/XMLSchema" type="xs:string" name="AssociationName"/>
    <xs:element xmlns:xs="http://www.w3.org/2001/XMLSchema" name="BDCEntity">
      <xs:complexType xmlns:xs="http://www.w3.org/2001/XMLSchema">
        <xs:sequence xmlns:xs="http://www.w3.org/2001/XMLSchema">
          <xs:element xmlns:xs="http://www.w3.org/2001/XMLSchema" minOccurs="0" ref="pc:EntityDisplayName"/>
          <xs:element xmlns:xs="http://www.w3.org/2001/XMLSchema" minOccurs="0" ref="pc:EntityInstanceReference"/>
          <xs:element xmlns:xs="http://www.w3.org/2001/XMLSchema" minOccurs="0" ref="pc:EntityId1"/>
          <xs:element xmlns:xs="http://www.w3.org/2001/XMLSchema" minOccurs="0" ref="pc:EntityId2"/>
          <xs:element xmlns:xs="http://www.w3.org/2001/XMLSchema" minOccurs="0" ref="pc:EntityId3"/>
          <xs:element xmlns:xs="http://www.w3.org/2001/XMLSchema" minOccurs="0" ref="pc:EntityId4"/>
          <xs:element xmlns:xs="http://www.w3.org/2001/XMLSchema" minOccurs="0" ref="pc:EntityId5"/>
        </xs:sequence>
      </xs:complexType>
    </xs:element>
    <xs:element xmlns:xs="http://www.w3.org/2001/XMLSchema" type="xs:string" name="EntityDisplayName"/>
    <xs:element xmlns:xs="http://www.w3.org/2001/XMLSchema" type="xs:string" name="EntityInstanceReference"/>
    <xs:element xmlns:xs="http://www.w3.org/2001/XMLSchema" type="xs:string" name="EntityId1"/>
    <xs:element xmlns:xs="http://www.w3.org/2001/XMLSchema" type="xs:string" name="EntityId2"/>
    <xs:element xmlns:xs="http://www.w3.org/2001/XMLSchema" type="xs:string" name="EntityId3"/>
    <xs:element xmlns:xs="http://www.w3.org/2001/XMLSchema" type="xs:string" name="EntityId4"/>
    <xs:element xmlns:xs="http://www.w3.org/2001/XMLSchema" type="xs:string" name="EntityId5"/>
    <xs:element xmlns:xs="http://www.w3.org/2001/XMLSchema" name="Terms">
      <xs:complexType xmlns:xs="http://www.w3.org/2001/XMLSchema">
        <xs:sequence xmlns:xs="http://www.w3.org/2001/XMLSchema">
          <xs:element xmlns:xs="http://www.w3.org/2001/XMLSchema" maxOccurs="unbounded" minOccurs="0" ref="pc:TermInfo"/>
        </xs:sequence>
      </xs:complexType>
    </xs:element>
    <xs:element xmlns:xs="http://www.w3.org/2001/XMLSchema" name="TermInfo">
      <xs:complexType xmlns:xs="http://www.w3.org/2001/XMLSchema">
        <xs:sequence xmlns:xs="http://www.w3.org/2001/XMLSchema">
          <xs:element xmlns:xs="http://www.w3.org/2001/XMLSchema" minOccurs="0" ref="pc:TermName"/>
          <xs:element xmlns:xs="http://www.w3.org/2001/XMLSchema" minOccurs="0" ref="pc:TermId"/>
        </xs:sequence>
      </xs:complexType>
    </xs:element>
    <xs:element xmlns:xs="http://www.w3.org/2001/XMLSchema" type="xs:string" name="TermName"/>
    <xs:element xmlns:xs="http://www.w3.org/2001/XMLSchema" type="xs:string" name="TermId"/>
  </xs:schema>
</ct:contentTypeSchema>
</file>

<file path=customXml/item4.xml><?xml version="1.0" encoding="utf-8"?>
<?mso-contentType ?>
<SharedContentType xmlns="Microsoft.SharePoint.Taxonomy.ContentTypeSync" PreviousValue="false" ContentTypeId="0x010100F4C63C3BD852AE468EAEFD0E6C57C64F02" SourceId="2a6c10d7-b926-4fc0-945e-3cbf5049f6bd"/>
</file>

<file path=customXml/item5.xml><?xml version="1.0" encoding="utf-8"?>
<?mso-contentType ?>
<spe:Receivers xmlns:spe="http://schemas.microsoft.com/sharepoint/events"/>
</file>

<file path=customXml/item6.xml><?xml version="1.0" encoding="utf-8"?>
<p:properties xmlns:p="http://schemas.microsoft.com/office/2006/metadata/properties" xmlns:pc="http://schemas.microsoft.com/office/infopath/2007/PartnerControls" xmlns:xsi="http://www.w3.org/2001/XMLSchema-instance">
  <documentManagement>
    <o1cb080a3dca4eb8a0fd03c7cc8bf8f7 xmlns="3e02667f-0271-471b-bd6e-11a2e16def1d">
      <Terms xmlns="http://schemas.microsoft.com/office/infopath/2007/PartnerControls"/>
    </o1cb080a3dca4eb8a0fd03c7cc8bf8f7>
    <Abstract xmlns:xsi="http://www.w3.org/2001/XMLSchema-instance" xmlns="3e02667f-0271-471b-bd6e-11a2e16def1d" xsi:nil="true"/>
    <WBDocs_Access_To_Info_Exception xmlns="3e02667f-0271-471b-bd6e-11a2e16def1d">12. Not Assessed</WBDocs_Access_To_Info_Exception>
    <WBDocs_Document_Date xmlns="3e02667f-0271-471b-bd6e-11a2e16def1d">2026-06-18T07:49:11+00:00</WBDocs_Document_Date>
    <TaxCatchAll xmlns="3e02667f-0271-471b-bd6e-11a2e16def1d">
      <Value xmlns="3e02667f-0271-471b-bd6e-11a2e16def1d">5</Value>
    </TaxCatchAll>
    <OneCMS_Subcategory xmlns:xsi="http://www.w3.org/2001/XMLSchema-instance" xmlns="3e02667f-0271-471b-bd6e-11a2e16def1d" xsi:nil="true"/>
    <i008215bacac45029ee8cafff4c8e93b xmlns="3e02667f-0271-471b-bd6e-11a2e16def1d">
      <Terms xmlns="http://schemas.microsoft.com/office/infopath/2007/PartnerControls">
        <TermInfo xmlns="http://schemas.microsoft.com/office/infopath/2007/PartnerControls">
          <TermName xmlns="http://schemas.microsoft.com/office/infopath/2007/PartnerControls">EACCF - WB Off: Beijing</TermName>
          <TermId xmlns="http://schemas.microsoft.com/office/infopath/2007/PartnerControls">2435c311-dfa9-4ae1-8e70-c51f57abf81a</TermId>
        </TermInfo>
      </Terms>
    </i008215bacac45029ee8cafff4c8e93b>
    <WBDocs_Information_Classification xmlns="3e02667f-0271-471b-bd6e-11a2e16def1d">Official Use Only</WBDocs_Information_Classification>
    <OneCMS_Category xmlns:xsi="http://www.w3.org/2001/XMLSchema-instance" xmlns="3e02667f-0271-471b-bd6e-11a2e16def1d"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2613B0-C37C-49FD-9312-D5D4217C1948}">
  <ds:schemaRefs/>
</ds:datastoreItem>
</file>

<file path=customXml/itemProps3.xml><?xml version="1.0" encoding="utf-8"?>
<ds:datastoreItem xmlns:ds="http://schemas.openxmlformats.org/officeDocument/2006/customXml" ds:itemID="{963F7B92-AD90-4DEF-BA90-0A463BAB486E}">
  <ds:schemaRefs/>
</ds:datastoreItem>
</file>

<file path=customXml/itemProps4.xml><?xml version="1.0" encoding="utf-8"?>
<ds:datastoreItem xmlns:ds="http://schemas.openxmlformats.org/officeDocument/2006/customXml" ds:itemID="{E366A923-A921-4F7A-8D65-E6B9427E93BD}">
  <ds:schemaRefs/>
</ds:datastoreItem>
</file>

<file path=customXml/itemProps5.xml><?xml version="1.0" encoding="utf-8"?>
<ds:datastoreItem xmlns:ds="http://schemas.openxmlformats.org/officeDocument/2006/customXml" ds:itemID="{EADC0C15-B1A6-4E9E-821D-D65FE996B9B8}">
  <ds:schemaRefs/>
</ds:datastoreItem>
</file>

<file path=customXml/itemProps6.xml><?xml version="1.0" encoding="utf-8"?>
<ds:datastoreItem xmlns:ds="http://schemas.openxmlformats.org/officeDocument/2006/customXml" ds:itemID="{807B4A73-D800-47F6-BB38-FEF81354C6B8}">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3377</Words>
  <Characters>3516</Characters>
  <Lines>50</Lines>
  <Paragraphs>14</Paragraphs>
  <TotalTime>6</TotalTime>
  <ScaleCrop>false</ScaleCrop>
  <LinksUpToDate>false</LinksUpToDate>
  <CharactersWithSpaces>3532</CharactersWithSpaces>
  <Application>WPS Office_12.1.0.26895_F1E327BC-269C-435d-A152-05C5408002CA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2026-06-19T23:56:00Z</dcterms:created>
  <dc:creator>river</dc:creator>
  <cp:lastModifiedBy>lillian</cp:lastModifiedBy>
  <dcterms:modified xsi:type="dcterms:W3CDTF">2026-07-31T02:25:20Z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28F08E1B2C0348D897B2046F4DFE63D5_12</vt:lpwstr>
  </property>
  <property fmtid="{D5CDD505-2E9C-101B-9397-08002B2CF9AE}" pid="4" name="KSOTemplateDocerSaveRecord">
    <vt:lpwstr>eyJoZGlkIjoiMjIyMWMzOGE3YjUzODgxZmVkMTc5NzMzZDFlZDMyOGYiLCJ1c2VySWQiOiIyMzAzMjg4NTkifQ==</vt:lpwstr>
  </property>
  <property fmtid="{D5CDD505-2E9C-101B-9397-08002B2CF9AE}" pid="5" name="ContentTypeId">
    <vt:lpwstr>0x010100F4C63C3BD852AE468EAEFD0E6C57C64F02008C015598D0747D4283BB1F9D49ADADC6</vt:lpwstr>
  </property>
  <property fmtid="{D5CDD505-2E9C-101B-9397-08002B2CF9AE}" pid="6" name="WBDocs_Local_Document_Type">
    <vt:lpwstr/>
  </property>
  <property fmtid="{D5CDD505-2E9C-101B-9397-08002B2CF9AE}" pid="7" name="MediaServiceImageTags">
    <vt:lpwstr/>
  </property>
  <property fmtid="{D5CDD505-2E9C-101B-9397-08002B2CF9AE}" pid="8" name="WBDocs_Originating_Unit">
    <vt:lpwstr>5;#EACCF - WB Off: Beijing|2435c311-dfa9-4ae1-8e70-c51f57abf81a</vt:lpwstr>
  </property>
  <property fmtid="{D5CDD505-2E9C-101B-9397-08002B2CF9AE}" pid="9" name="lcf76f155ced4ddcb4097134ff3c332f">
    <vt:lpwstr/>
  </property>
  <property fmtid="{D5CDD505-2E9C-101B-9397-08002B2CF9AE}" pid="10" name="ClassificationContentMarkingFooterShapeIds">
    <vt:lpwstr>3e9c7c97,8cd7916,333cf943</vt:lpwstr>
  </property>
  <property fmtid="{D5CDD505-2E9C-101B-9397-08002B2CF9AE}" pid="11" name="ClassificationContentMarkingFooterFontProps">
    <vt:lpwstr>#000000,10,Aptos</vt:lpwstr>
  </property>
  <property fmtid="{D5CDD505-2E9C-101B-9397-08002B2CF9AE}" pid="12" name="ClassificationContentMarkingFooterText">
    <vt:lpwstr>Official Use Only</vt:lpwstr>
  </property>
  <property fmtid="{D5CDD505-2E9C-101B-9397-08002B2CF9AE}" pid="13" name="MSIP_Label_f1bf45b6-5649-4236-82a3-f45024cd282e_Enabled">
    <vt:lpwstr>true</vt:lpwstr>
  </property>
  <property fmtid="{D5CDD505-2E9C-101B-9397-08002B2CF9AE}" pid="14" name="MSIP_Label_f1bf45b6-5649-4236-82a3-f45024cd282e_SetDate">
    <vt:lpwstr>2026-06-18T16:56:33Z</vt:lpwstr>
  </property>
  <property fmtid="{D5CDD505-2E9C-101B-9397-08002B2CF9AE}" pid="15" name="MSIP_Label_f1bf45b6-5649-4236-82a3-f45024cd282e_Method">
    <vt:lpwstr>Standard</vt:lpwstr>
  </property>
  <property fmtid="{D5CDD505-2E9C-101B-9397-08002B2CF9AE}" pid="16" name="MSIP_Label_f1bf45b6-5649-4236-82a3-f45024cd282e_Name">
    <vt:lpwstr>Official Use Only</vt:lpwstr>
  </property>
  <property fmtid="{D5CDD505-2E9C-101B-9397-08002B2CF9AE}" pid="17" name="MSIP_Label_f1bf45b6-5649-4236-82a3-f45024cd282e_SiteId">
    <vt:lpwstr>31a2fec0-266b-4c67-b56e-2796d8f59c36</vt:lpwstr>
  </property>
  <property fmtid="{D5CDD505-2E9C-101B-9397-08002B2CF9AE}" pid="18" name="MSIP_Label_f1bf45b6-5649-4236-82a3-f45024cd282e_ActionId">
    <vt:lpwstr>605488b3-f9a9-4b5b-b0ce-5107ec38bfc0</vt:lpwstr>
  </property>
  <property fmtid="{D5CDD505-2E9C-101B-9397-08002B2CF9AE}" pid="19" name="MSIP_Label_f1bf45b6-5649-4236-82a3-f45024cd282e_ContentBits">
    <vt:lpwstr>2</vt:lpwstr>
  </property>
  <property fmtid="{D5CDD505-2E9C-101B-9397-08002B2CF9AE}" pid="20" name="MSIP_Label_f1bf45b6-5649-4236-82a3-f45024cd282e_Tag">
    <vt:lpwstr>10, 3, 0, 2</vt:lpwstr>
  </property>
</Properties>
</file>