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735FB">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世界银行中国市场伙伴实施基金赠款项目（P504267）</w:t>
      </w:r>
    </w:p>
    <w:p w14:paraId="6EC735FC">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“加强国家ETS配额管理及MRV体系优化行业活动</w:t>
      </w:r>
    </w:p>
    <w:p w14:paraId="6EC735FD">
      <w:pPr>
        <w:widowControl/>
        <w:jc w:val="center"/>
        <w:outlineLvl w:val="0"/>
        <w:rPr>
          <w:rFonts w:ascii="Times New Roman" w:hAnsi="Times New Roman" w:eastAsia="方正小标宋简体" w:cs="Times New Roman"/>
          <w:bCs/>
          <w:sz w:val="30"/>
          <w:szCs w:val="30"/>
        </w:rPr>
      </w:pPr>
      <w:r>
        <w:rPr>
          <w:rFonts w:ascii="Times New Roman" w:hAnsi="Times New Roman" w:eastAsia="方正小标宋简体" w:cs="Times New Roman"/>
          <w:bCs/>
          <w:sz w:val="30"/>
          <w:szCs w:val="30"/>
        </w:rPr>
        <w:t>-</w:t>
      </w:r>
      <w:r>
        <w:rPr>
          <w:rFonts w:hint="eastAsia" w:ascii="Times New Roman" w:hAnsi="Times New Roman" w:eastAsia="方正小标宋简体" w:cs="Times New Roman"/>
          <w:bCs/>
          <w:sz w:val="30"/>
          <w:szCs w:val="30"/>
        </w:rPr>
        <w:t>民航行业”咨询服务</w:t>
      </w:r>
    </w:p>
    <w:p w14:paraId="6EC735FE">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工作任务大纲（PMI-</w:t>
      </w:r>
      <w:r>
        <w:rPr>
          <w:rFonts w:ascii="Times New Roman" w:hAnsi="Times New Roman" w:eastAsia="方正小标宋简体" w:cs="Times New Roman"/>
          <w:bCs/>
          <w:sz w:val="30"/>
          <w:szCs w:val="30"/>
        </w:rPr>
        <w:t>12</w:t>
      </w:r>
      <w:r>
        <w:rPr>
          <w:rFonts w:hint="eastAsia" w:ascii="Times New Roman" w:hAnsi="Times New Roman" w:eastAsia="方正小标宋简体" w:cs="Times New Roman"/>
          <w:bCs/>
          <w:sz w:val="30"/>
          <w:szCs w:val="30"/>
        </w:rPr>
        <w:t>-CQS）</w:t>
      </w:r>
    </w:p>
    <w:p w14:paraId="6EC735FF">
      <w:pPr>
        <w:rPr>
          <w:rFonts w:ascii="Times New Roman" w:hAnsi="Times New Roman" w:eastAsia="仿宋" w:cs="Times New Roman"/>
          <w:sz w:val="28"/>
          <w:szCs w:val="28"/>
        </w:rPr>
      </w:pPr>
    </w:p>
    <w:p w14:paraId="6EC73600">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一、项目背景及意义</w:t>
      </w:r>
    </w:p>
    <w:p w14:paraId="6EC73601">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为推动中国碳排放权交易市场与温室气体自愿减排交易市场的高质量发展及不断完善，世界银行与生态环境部合作开展“中国市场伙伴实施基金项目”活动。该项目旨在支持中国国家层面碳定价工具的优化设计、实施与管理能力提升，项目将优化完善全国碳排放权交易市场（ETS）与国家核证自愿减排量（CCER）体系，开展国内碳市场与《巴黎协定》第六条下国际碳交易实现衔接兼容的研究，分析引入碳税以补充</w:t>
      </w:r>
      <w:r>
        <w:rPr>
          <w:rFonts w:ascii="Times New Roman" w:hAnsi="Times New Roman" w:eastAsia="仿宋" w:cs="Times New Roman"/>
          <w:sz w:val="28"/>
          <w:szCs w:val="28"/>
        </w:rPr>
        <w:t>ETS的可行性等。生态环境部对外合作与交流中心</w:t>
      </w:r>
      <w:r>
        <w:rPr>
          <w:rFonts w:hint="eastAsia" w:ascii="Times New Roman" w:hAnsi="Times New Roman" w:eastAsia="仿宋" w:cs="Times New Roman"/>
          <w:sz w:val="28"/>
          <w:szCs w:val="28"/>
        </w:rPr>
        <w:t>（FECO）受委托作为项目管理办公室（PMO），负责统筹项目实施工作。</w:t>
      </w:r>
    </w:p>
    <w:p w14:paraId="6EC73602">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中国的碳市场由全国碳排放权交易市场和全国温室气体自愿减排交易市场共同组成。作为全球覆盖排放量最大的碳市场，全国碳排放权交易市场自2021年7月以发电行业为突破口启动上线交易，经过数个履约周期的建设，总体运行平稳，制度规范日趋完善，碳排放数据质量持续改善，价格发现机制作用日益显现，2025年经国务院批准，钢铁、水泥、铝冶炼行业正式纳入全国碳排放权交易市场管理。全国温室气体自愿减排交易市场于2024年1月启动，制度体系、方法学、支撑系统及监管体系正逐步完善。</w:t>
      </w:r>
    </w:p>
    <w:p w14:paraId="6EC73603">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2025年8月，中共中央办公厅、国务院办公厅发布《关于推进绿色低碳转型加强全国碳市场建设的意见》（以下简称《意见》），提出到2027年对碳排放总量相对稳定的行业优先实施配额总量控制，稳妥推行免费和有偿相结合的碳排放配额分配方式，有序提高有偿分配比例；到2030年，基本建成以配额总量控制为基础、免费和有偿分配相结合的全国碳排放权交易市场。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按照上述部署，生态环境部已启动化工、石化、造纸、民航等行业扩围前期准备工作，对相关行业企业碳排放报告进行收集整理和核查，并加快编制配额分配方案、核算报告指南、核查技术指南等配套技术文件。</w:t>
      </w:r>
    </w:p>
    <w:p w14:paraId="48F1D6D7">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民航运输业是全球应对气候变化的重要领域，国际民用航空组织（ICAO）已建立国际航空碳抵消和减排计划（CORSIA）。中国作为民航运输大国，民航企业已按照相关要求开展温室气体排放的监测、报告与核查（MRV）工作。民航企业温室气体排放主要来源于航空器燃料燃烧，具有排放源集中、数据统计基础较好、国际国内航班核算边界清晰等显著碳排放特征，同时面临国际碳约束（CORSIA机制）与国内碳市场扩围的双重政策环境。</w:t>
      </w:r>
    </w:p>
    <w:p w14:paraId="6EC73604">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当前，民航行业正处于碳市场扩围的关键准备期。在配额管理方面，行业尚未建立正式的配额分配机制，需结合国际主要碳市场对民航行业的覆盖范围及CORSIA国际航班碳排放抵消要求的实践经验，以及国内已纳入行业（如发电、钢铁、铝冶炼、水泥）的配额分配实践，研究提出适合民航行业运营特点的配额分配方案，并前瞻性地考虑《意见》明确的配额总量控制、有偿分配等制度转型方向。在MRV体系方面，现行技术指南虽已在企业实践中有所应用，但仍存在活动数据精细化管理不足、混合燃料监测核算规则不清晰、地面活动移动源和固定源的排放核算边界有待厘清等问题，需结合国际经验和企业实际进行系统优化和完善。</w:t>
      </w:r>
    </w:p>
    <w:p w14:paraId="6EC73605">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为贯彻落实国家关于逐步扩大全国碳排放权交易市场覆盖范围的决策部署，保障民航行业未来平稳有序纳入全国碳排放权交易市场，需提前开展系统性研究。通过分析该行业的碳排放特征，评估现有核算与报告指南的适用性，研究提出符合行业实际的配额分配方案建议，探索构建与全国碳市场相衔接的MRV体系，并为适应配额总量控制及有偿分配等中长期制度转型提供技术储备，推动碳市场扩围工作顺利实施。</w:t>
      </w:r>
    </w:p>
    <w:p w14:paraId="6EC73606">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二、咨询服务目标</w:t>
      </w:r>
    </w:p>
    <w:p w14:paraId="6EC73607">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本分包任务旨在聚焦民航行业的碳排放管理特点，从行业技术层面为全国碳排放权交易市场的扩围工作提供支撑。通过系统梳理民航行业的运营特点、碳排放源、数据管理现状，结合国际经验和国内已纳入行业的工作实践，识别现行核算与报告体系在预期配额管理、技术规范、执行流程等方面与行业实际存在的差距，从行业角度提出兼具科学性、公平性与可操作性的配额管理制度建议及MRV体系优化措施。同时，前瞻性考虑配额总量控制及有偿分配等制度转型方向，为民航行业平稳有序纳入全国碳排放权交易市场并适应中长期制度发展提供技术储备和政策参考。</w:t>
      </w:r>
    </w:p>
    <w:p w14:paraId="6EC73608">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三、工作内容及要求</w:t>
      </w:r>
    </w:p>
    <w:p w14:paraId="6EC73609">
      <w:pPr>
        <w:pStyle w:val="4"/>
        <w:spacing w:before="156" w:beforeLines="50" w:after="156" w:afterLines="50" w:line="240" w:lineRule="auto"/>
        <w:ind w:firstLine="560"/>
        <w:rPr>
          <w:rFonts w:ascii="Times New Roman" w:hAnsi="Times New Roman" w:eastAsia="仿宋" w:cs="Times New Roman"/>
          <w:sz w:val="28"/>
          <w:szCs w:val="28"/>
        </w:rPr>
      </w:pPr>
      <w:r>
        <w:rPr>
          <w:rFonts w:hint="eastAsia" w:ascii="Times New Roman" w:hAnsi="Times New Roman" w:eastAsia="仿宋" w:cs="Times New Roman"/>
          <w:sz w:val="28"/>
          <w:szCs w:val="28"/>
        </w:rPr>
        <w:t>3.1 总体工作范围</w:t>
      </w:r>
    </w:p>
    <w:p w14:paraId="6EC7360A">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分包任务从行业技术层面，围绕民航行业纳入全国碳排放权交易市场的关键问题开展研究：分析梳理行业发展现状、碳排放特征及数据管理基础，深入了解企业在未来纳入碳市场过程中可能面临的技术困难与政策诉求，综合考虑主管部门在政策执行中的意见与建议，结合国际碳市场及国内已纳入行业的经验，形成行业需求分析报告；在此基础上，研究提出符合民航行业运营特点的配额分配方案，并前瞻性考虑配额总量控制、有偿分配等制度转型方向，为未来配额管理提供技术储备；同时，评估现行核算与报告指南的可操作性及其与全国碳排放权交易市场要求的匹配度，结合行业发展动态，提出MRV体系优化改进建议。</w:t>
      </w:r>
    </w:p>
    <w:p w14:paraId="6EC7360B">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在PMO总体协调下，本分包任务需与PMI-3</w:t>
      </w:r>
      <w:r>
        <w:rPr>
          <w:rStyle w:val="17"/>
          <w:rFonts w:ascii="Times New Roman" w:hAnsi="Times New Roman" w:eastAsia="仿宋" w:cs="Times New Roman"/>
          <w:sz w:val="28"/>
          <w:szCs w:val="28"/>
        </w:rPr>
        <w:footnoteReference w:id="0"/>
      </w:r>
      <w:r>
        <w:rPr>
          <w:rFonts w:hint="eastAsia" w:ascii="Times New Roman" w:hAnsi="Times New Roman" w:eastAsia="仿宋" w:cs="Times New Roman"/>
          <w:sz w:val="28"/>
          <w:szCs w:val="28"/>
        </w:rPr>
        <w:t>，PMI-4</w:t>
      </w:r>
      <w:r>
        <w:rPr>
          <w:rStyle w:val="17"/>
          <w:rFonts w:ascii="Times New Roman" w:hAnsi="Times New Roman" w:eastAsia="仿宋" w:cs="Times New Roman"/>
          <w:sz w:val="28"/>
          <w:szCs w:val="28"/>
        </w:rPr>
        <w:footnoteReference w:id="1"/>
      </w:r>
      <w:r>
        <w:rPr>
          <w:rFonts w:hint="eastAsia" w:ascii="Times New Roman" w:hAnsi="Times New Roman" w:eastAsia="仿宋" w:cs="Times New Roman"/>
          <w:sz w:val="28"/>
          <w:szCs w:val="28"/>
        </w:rPr>
        <w:t>，</w:t>
      </w:r>
      <w:r>
        <w:rPr>
          <w:rFonts w:ascii="Times New Roman" w:hAnsi="Times New Roman" w:eastAsia="仿宋" w:cs="Times New Roman"/>
          <w:sz w:val="28"/>
          <w:szCs w:val="28"/>
        </w:rPr>
        <w:t>PMI-16</w:t>
      </w:r>
      <w:r>
        <w:rPr>
          <w:rStyle w:val="17"/>
          <w:rFonts w:ascii="Times New Roman" w:hAnsi="Times New Roman" w:eastAsia="仿宋" w:cs="Times New Roman"/>
          <w:sz w:val="28"/>
          <w:szCs w:val="28"/>
        </w:rPr>
        <w:footnoteReference w:id="2"/>
      </w:r>
      <w:r>
        <w:rPr>
          <w:rFonts w:hint="eastAsia" w:ascii="Times New Roman" w:hAnsi="Times New Roman" w:eastAsia="仿宋" w:cs="Times New Roman"/>
          <w:sz w:val="28"/>
          <w:szCs w:val="28"/>
        </w:rPr>
        <w:t>及</w:t>
      </w:r>
      <w:r>
        <w:rPr>
          <w:rFonts w:ascii="Times New Roman" w:hAnsi="Times New Roman" w:eastAsia="仿宋" w:cs="Times New Roman"/>
          <w:sz w:val="28"/>
          <w:szCs w:val="28"/>
        </w:rPr>
        <w:t>PMI-17</w:t>
      </w:r>
      <w:r>
        <w:rPr>
          <w:rStyle w:val="17"/>
          <w:rFonts w:ascii="Times New Roman" w:hAnsi="Times New Roman" w:eastAsia="仿宋" w:cs="Times New Roman"/>
          <w:sz w:val="28"/>
          <w:szCs w:val="28"/>
        </w:rPr>
        <w:footnoteReference w:id="3"/>
      </w:r>
      <w:r>
        <w:rPr>
          <w:rFonts w:hint="eastAsia" w:ascii="Times New Roman" w:hAnsi="Times New Roman" w:eastAsia="仿宋" w:cs="Times New Roman"/>
          <w:sz w:val="28"/>
          <w:szCs w:val="28"/>
        </w:rPr>
        <w:t>等其他分包任务承担单位保持技术协作与信息共享，确保研究的系统性与一致性。</w:t>
      </w:r>
    </w:p>
    <w:p w14:paraId="6EC7360C">
      <w:pPr>
        <w:pStyle w:val="4"/>
        <w:spacing w:before="156" w:beforeLines="50" w:after="156" w:afterLines="50" w:line="240" w:lineRule="auto"/>
        <w:ind w:firstLine="560"/>
        <w:rPr>
          <w:rFonts w:ascii="Times New Roman" w:hAnsi="Times New Roman" w:eastAsia="仿宋" w:cs="Times New Roman"/>
          <w:sz w:val="28"/>
          <w:szCs w:val="28"/>
        </w:rPr>
      </w:pPr>
      <w:r>
        <w:rPr>
          <w:rFonts w:hint="eastAsia" w:ascii="Times New Roman" w:hAnsi="Times New Roman" w:eastAsia="仿宋" w:cs="Times New Roman"/>
          <w:sz w:val="28"/>
          <w:szCs w:val="28"/>
        </w:rPr>
        <w:t>3.2 任务要求描述</w:t>
      </w:r>
    </w:p>
    <w:p w14:paraId="6EC7360D">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3.2.1 </w:t>
      </w:r>
      <w:r>
        <w:rPr>
          <w:rFonts w:hint="eastAsia" w:ascii="Times New Roman" w:hAnsi="Times New Roman" w:eastAsia="仿宋" w:cs="Times New Roman"/>
          <w:sz w:val="28"/>
          <w:szCs w:val="28"/>
        </w:rPr>
        <w:t>民航行业动态与诉求调研</w:t>
      </w:r>
    </w:p>
    <w:p w14:paraId="0E41213E">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本项任务旨在通过文献研究、调研访谈等方式，系统了解民航行业在配额管理及MRV实施方面的实际运行情况和企业需求，借鉴国际先进经验及国内已纳入行业的实践，形成《民航行业配额管理及MRV需求分析报告》，为后续配额方案研究和MRV优化提供实证基础和国际参照。内容包括但不限于：</w:t>
      </w:r>
    </w:p>
    <w:p w14:paraId="7ADB0CFF">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a. 国际国内经验对比分析：研究国际主要碳市场（如欧盟ETS、美国加州ETS、英国ETS、韩国ETS等）民航行业在配额管理（总量控制、有偿分配、基准值设定、拍卖收入使用等）及MRV体系（核算方法、数据质量控制、燃料监测系统应用、核查机制等）方面的制度设计与实践经验，评估我国民航行业现行配额管理及</w:t>
      </w:r>
      <w:r>
        <w:rPr>
          <w:rFonts w:ascii="Times New Roman" w:hAnsi="Times New Roman" w:eastAsia="仿宋" w:cs="Times New Roman"/>
          <w:sz w:val="28"/>
          <w:szCs w:val="28"/>
          <w:lang w:bidi="ar"/>
        </w:rPr>
        <w:t>MRV</w:t>
      </w:r>
      <w:r>
        <w:rPr>
          <w:rFonts w:hint="eastAsia" w:ascii="Times New Roman" w:hAnsi="Times New Roman" w:eastAsia="仿宋" w:cs="Times New Roman"/>
          <w:sz w:val="28"/>
          <w:szCs w:val="28"/>
          <w:lang w:bidi="ar"/>
        </w:rPr>
        <w:t>体系（包括地方试点碳市场）与国际最佳实践的差异与可借鉴之处。</w:t>
      </w:r>
      <w:r>
        <w:rPr>
          <w:rFonts w:hint="eastAsia" w:ascii="Times New Roman" w:hAnsi="Times New Roman" w:eastAsia="仿宋" w:cs="Times New Roman"/>
          <w:sz w:val="28"/>
          <w:szCs w:val="28"/>
        </w:rPr>
        <w:t>同时，总结国内已纳入行业（如发电、钢铁、铝冶炼、水泥）在配额分配和MRV实施中的经验教训，识别可借鉴的最佳实践与需规避的潜在问题，为民航行业配额方案设计及MRV体系优化提供参照。</w:t>
      </w:r>
    </w:p>
    <w:p w14:paraId="265A5579">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b. 行业发展动态梳理：系统梳理民航行业近年的产业发展现状与趋势，重点关注行业总体规模、机队结构、能源消费结构、燃料效率、碳排放强度等关键指标的变化态势。分析国内航班与国际航班的运营特点与碳排放差异，识别不同运营类型（如客运、货运、国内航线、国际航线）的碳排放特点与差异，为配额分配方案参数设定及MRV体系优化提供行业支撑。</w:t>
      </w:r>
    </w:p>
    <w:p w14:paraId="6EC7360F">
      <w:pPr>
        <w:widowControl/>
        <w:spacing w:before="156" w:beforeLines="50" w:after="156" w:afterLines="50"/>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lang w:bidi="ar"/>
        </w:rPr>
        <w:t>c. 企业</w:t>
      </w:r>
      <w:r>
        <w:rPr>
          <w:rFonts w:hint="eastAsia" w:ascii="Times New Roman" w:hAnsi="Times New Roman" w:eastAsia="仿宋" w:cs="Times New Roman"/>
          <w:sz w:val="28"/>
          <w:szCs w:val="28"/>
          <w:lang w:eastAsia="zh-CN" w:bidi="ar"/>
        </w:rPr>
        <w:t>和主管部门</w:t>
      </w:r>
      <w:r>
        <w:rPr>
          <w:rFonts w:hint="eastAsia" w:ascii="Times New Roman" w:hAnsi="Times New Roman" w:eastAsia="仿宋" w:cs="Times New Roman"/>
          <w:sz w:val="28"/>
          <w:szCs w:val="28"/>
          <w:lang w:bidi="ar"/>
        </w:rPr>
        <w:t>诉求访谈：面向不同类型、规模、航线网络的民航运输企业，通过问卷调研与典型</w:t>
      </w:r>
      <w:r>
        <w:rPr>
          <w:rFonts w:hint="eastAsia" w:ascii="Times New Roman" w:hAnsi="Times New Roman" w:eastAsia="仿宋" w:cs="Times New Roman"/>
          <w:sz w:val="28"/>
          <w:szCs w:val="28"/>
          <w:lang w:eastAsia="zh-CN" w:bidi="ar"/>
        </w:rPr>
        <w:t>企业现场调研</w:t>
      </w:r>
      <w:r>
        <w:rPr>
          <w:rFonts w:hint="eastAsia" w:ascii="Times New Roman" w:hAnsi="Times New Roman" w:eastAsia="仿宋" w:cs="Times New Roman"/>
          <w:sz w:val="28"/>
          <w:szCs w:val="28"/>
          <w:lang w:bidi="ar"/>
        </w:rPr>
        <w:t>相结合的方式，系统了解企业在配额管理</w:t>
      </w:r>
      <w:r>
        <w:rPr>
          <w:rFonts w:hint="eastAsia" w:ascii="Times New Roman" w:hAnsi="Times New Roman" w:eastAsia="仿宋" w:cs="Times New Roman"/>
          <w:sz w:val="28"/>
          <w:szCs w:val="28"/>
          <w:lang w:eastAsia="zh-CN" w:bidi="ar"/>
        </w:rPr>
        <w:t>的政策诉求</w:t>
      </w:r>
      <w:r>
        <w:rPr>
          <w:rFonts w:hint="eastAsia" w:ascii="Times New Roman" w:hAnsi="Times New Roman" w:eastAsia="仿宋" w:cs="Times New Roman"/>
          <w:sz w:val="28"/>
          <w:szCs w:val="28"/>
          <w:lang w:bidi="ar"/>
        </w:rPr>
        <w:t>以及MRV实施（如燃料数据采集规范性、核算边界清晰度、核查服务质量、新技术应用需求等）方面的技术困难（承担单位应在项目建议书中明确提出拟调研的企业数量、选点依据及覆盖说明）。同时，面向国家及地方生态环境主管部门及民航主管部门，通过专题座谈与调研访谈相结合的方式，了解主管部门在民航行业碳排放数据管理、核算指南执行、核查监管等方面的实际运行经验与改进建议，形成民航行业配额管理及MRV需求分析报告。</w:t>
      </w:r>
    </w:p>
    <w:p w14:paraId="6EC73610">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3.2.2 </w:t>
      </w:r>
      <w:r>
        <w:rPr>
          <w:rFonts w:hint="eastAsia" w:ascii="Times New Roman" w:hAnsi="Times New Roman" w:eastAsia="仿宋" w:cs="Times New Roman"/>
          <w:sz w:val="28"/>
          <w:szCs w:val="28"/>
        </w:rPr>
        <w:t>民航行业配额管理机制前瞻性研究</w:t>
      </w:r>
    </w:p>
    <w:p w14:paraId="02792836">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本项任务旨在结合国际经验和国内已纳入行业实践，在PMO统一协调下，充分听取PMI-3分包承担单位的指导意见，并与PMI-16分包承担单位保持沟通，研究民航行业纳入全国碳排放权交易市场后的配额分配方案，并前瞻性考虑总量控制及有偿分配等制度转型方向，形成《民航行业配额管理制度前瞻性研究报告》。内容包括但不限于：</w:t>
      </w:r>
    </w:p>
    <w:p w14:paraId="7BB2EB61">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a. 配额机制与政策协同分析：分析民航行业未来配额分配与可持续航空燃料（SAF）激励政策、CORSIA机制、民航企业运营节能管理政策等的潜在协调关系，识别可能存在的协同问题。同时，评估国内ETS与CORSIA机制的潜在冲突与协同路径：研究国际航线碳排放的长期处理方案，分析接纳CORSIA规则、适度衔接以及自主建立衔接机制等不同路径的可行性、成本与风险，提出分阶段衔接方案建议。上述ETS与CORSIA衔接研究需与PMI-16承担单位密切协作，确保成果协调一致。</w:t>
      </w:r>
    </w:p>
    <w:p w14:paraId="06444A47">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b. 配额分配方案研究：研究民航行业配额分配的关键要素设计，包括配额边界的合理界定（国内航线与国际航线的区分处理）、配额分配方式的选择与适用条件、机型分类与基准值的设定方法、特殊情形（如</w:t>
      </w:r>
      <w:r>
        <w:rPr>
          <w:rFonts w:ascii="Times New Roman" w:hAnsi="Times New Roman" w:eastAsia="仿宋" w:cs="Times New Roman"/>
          <w:sz w:val="28"/>
          <w:szCs w:val="28"/>
          <w:lang w:bidi="ar"/>
        </w:rPr>
        <w:t>SAF</w:t>
      </w:r>
      <w:r>
        <w:rPr>
          <w:rFonts w:hint="eastAsia" w:ascii="Times New Roman" w:hAnsi="Times New Roman" w:eastAsia="仿宋" w:cs="Times New Roman"/>
          <w:sz w:val="28"/>
          <w:szCs w:val="28"/>
          <w:lang w:bidi="ar"/>
        </w:rPr>
        <w:t>掺混使用、新进入者、航班异常波动等）的处理规则。 同时，前瞻性研究有偿配额与免费配额相结合的设计结构，探索有偿分配比例的有序提升路径，并考虑《意见》明确的配额总量控制方向，研究行业中长期制度转型的可能路径及其对配额方案设计的影响。</w:t>
      </w:r>
    </w:p>
    <w:p w14:paraId="56BE1E5D">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c. 企业应对策略分析：分析民航行业纳入全国碳排放权交易市场后，不同类型企业（客运/货运、国内/国际航线占比不同等）可能面临的配额约束及应对策略，包括但不限于：优化机队结构、提高燃料效率、使用可持续航空燃料、开展碳资产管理、参与碳市场交易等。同时，前瞻性研究在配额总量控制及有偿分配制度下，企业中长期减排路径选择、碳成本管理及低碳技术投资策略，为企业提前布局碳市场提供参考。</w:t>
      </w:r>
    </w:p>
    <w:p w14:paraId="6EC73613">
      <w:pPr>
        <w:widowControl/>
        <w:spacing w:before="156" w:beforeLines="50" w:after="156" w:afterLines="50"/>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lang w:bidi="ar"/>
        </w:rPr>
        <w:t>d. 配额分配方案制定建议：综合上述研究，提出民航行业配额分配方案的制定建议，为未来行业纳入全国碳排放权交易市场后的配额分配工作提供技术储备。同时，配合PMO参与配额管理相关交流会，就行业政策动向、行业发展现状及最新动态开展深入交流。</w:t>
      </w:r>
    </w:p>
    <w:p w14:paraId="6EC73614">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3.2.3 </w:t>
      </w:r>
      <w:r>
        <w:rPr>
          <w:rFonts w:hint="eastAsia" w:ascii="Times New Roman" w:hAnsi="Times New Roman" w:eastAsia="仿宋" w:cs="Times New Roman"/>
          <w:sz w:val="28"/>
          <w:szCs w:val="28"/>
        </w:rPr>
        <w:t>民航行业MRV体系优化研究</w:t>
      </w:r>
    </w:p>
    <w:p w14:paraId="0827F7B9">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系统诊断民航行业MRV体系运行中的主要难点，在PMO的统一协调下，综合考虑PMI-4及PMI-17分包承担单位的指导意见，借鉴国际经验及国内已纳入行业实践，从核算方法、数据质量控制、核查能力等方面提出优化建议，形成《民航行业MRV体系改进建议报告》。内容包括但不限于：</w:t>
      </w:r>
    </w:p>
    <w:p w14:paraId="28CC9F23">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a. 碳排放核算难点诊断：系统梳理民航行业现行技术指南在实际执行中的主要难点，结合民航行业运营特点和排放源特征，重点分析核算边界的清晰度、排放源的完整性、活动水平数据获取方式与质量保证、排放因子的实测与缺省值使用规则、数据质量控制计划的完整性与可操作性等。研究应兼顾企业执行层面和第三方核查机构在实际操作中遇到的共性问题。</w:t>
      </w:r>
    </w:p>
    <w:p w14:paraId="34CCA715">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b. 数据质量控制与创新技术应用研究：研究民航企业碳排放数据质量控制的实施情况，包括计量器具的配备与管理、飞行数据记录系统的应用、燃料消耗数据的记录与报送流程等，评估现行数据质量管理体系与全国碳排放权交易市场数据质量要求的差距。同时，梳理分析国内外民航行业在碳排放数据管理相关创新技术的应用情况，例如：燃油管理信息系统、大数据分析技术、区块链数据存证等，评估创新技术的成熟度、应用效果及其对提升数据质量控制的潜力。</w:t>
      </w:r>
    </w:p>
    <w:p w14:paraId="3A842F34">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c. 面向制度转型的MRV支持能力分析：前瞻性分析民航行业现行MRV体系对配额总量控制及有偿分配实施的支撑能力，提出适应制度转型的MRV改进方向与实施路径。内容包括但不限于：核算指南修订建议、核查工作改进意见、数据质量保障机制强化路径等。</w:t>
      </w:r>
    </w:p>
    <w:p w14:paraId="6EC73617">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d. 行业MRV体系优化建议：综合上述分析，系统提出民航行业MRV体系优化改进建议。同时，配合PMO参与MRV体系优化相关交流会，就行业政策动向、行业发展现状及最新动态开展深入交流。</w:t>
      </w:r>
    </w:p>
    <w:p w14:paraId="6EC73618">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四、预计交付成果</w:t>
      </w:r>
    </w:p>
    <w:p w14:paraId="1252F79C">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sz w:val="28"/>
          <w:szCs w:val="28"/>
        </w:rPr>
        <w:t>本</w:t>
      </w:r>
      <w:r>
        <w:rPr>
          <w:rFonts w:hint="eastAsia" w:ascii="Times New Roman" w:hAnsi="Times New Roman" w:eastAsia="仿宋" w:cs="Times New Roman"/>
          <w:color w:val="000000" w:themeColor="text1"/>
          <w:sz w:val="28"/>
          <w:szCs w:val="28"/>
          <w14:textFill>
            <w14:solidFill>
              <w14:schemeClr w14:val="tx1"/>
            </w14:solidFill>
          </w14:textFill>
        </w:rPr>
        <w:t>项目预计成果包括：</w:t>
      </w:r>
    </w:p>
    <w:p w14:paraId="05C92641">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 xml:space="preserve">4.1 </w:t>
      </w:r>
      <w:r>
        <w:rPr>
          <w:rFonts w:hint="eastAsia" w:ascii="Times New Roman" w:hAnsi="Times New Roman" w:eastAsia="仿宋" w:cs="Times New Roman"/>
          <w:color w:val="000000" w:themeColor="text1"/>
          <w:sz w:val="28"/>
          <w:szCs w:val="28"/>
          <w14:textFill>
            <w14:solidFill>
              <w14:schemeClr w14:val="tx1"/>
            </w14:solidFill>
          </w14:textFill>
        </w:rPr>
        <w:t>《</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行业配额管理及MRV需求分析报告》</w:t>
      </w:r>
    </w:p>
    <w:p w14:paraId="285CE6EC">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4.2 《</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行业配额管理制度前瞻性研究报告》</w:t>
      </w:r>
    </w:p>
    <w:p w14:paraId="73EA5BD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4.3 《</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行业MRV体系改进建议报告》</w:t>
      </w:r>
    </w:p>
    <w:p w14:paraId="2036B154">
      <w:pPr>
        <w:spacing w:before="156" w:beforeLines="50" w:after="156" w:afterLines="5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本分包合同所有交付成果应与相关利益方进行磋商，并</w:t>
      </w:r>
      <w:r>
        <w:rPr>
          <w:rFonts w:hint="eastAsia" w:ascii="Times New Roman" w:hAnsi="Times New Roman" w:eastAsia="仿宋_GB2312" w:cs="Times New Roman"/>
          <w:sz w:val="28"/>
          <w:szCs w:val="28"/>
          <w:lang w:val="en-US" w:eastAsia="zh-CN"/>
        </w:rPr>
        <w:t>按照PMO提供的环境与社会相关工具包</w:t>
      </w:r>
      <w:r>
        <w:rPr>
          <w:rFonts w:hint="default" w:ascii="Times New Roman" w:hAnsi="Times New Roman" w:eastAsia="仿宋_GB2312" w:cs="Times New Roman"/>
          <w:sz w:val="28"/>
          <w:szCs w:val="28"/>
          <w:lang w:val="en-US" w:eastAsia="zh-CN"/>
        </w:rPr>
        <w:t>形成磋商纪要</w:t>
      </w:r>
      <w:r>
        <w:rPr>
          <w:rFonts w:hint="eastAsia" w:ascii="Times New Roman" w:hAnsi="Times New Roman" w:eastAsia="仿宋_GB2312" w:cs="Times New Roman"/>
          <w:sz w:val="28"/>
          <w:szCs w:val="28"/>
          <w:lang w:val="en-US" w:eastAsia="zh-CN"/>
        </w:rPr>
        <w:t>（至少包括人员、内容及照片）、意见反馈及采纳情况，并按要求提交进展报告</w:t>
      </w:r>
      <w:r>
        <w:rPr>
          <w:rFonts w:hint="default" w:ascii="Times New Roman" w:hAnsi="Times New Roman" w:eastAsia="仿宋_GB2312" w:cs="Times New Roman"/>
          <w:sz w:val="28"/>
          <w:szCs w:val="28"/>
          <w:lang w:val="en-US" w:eastAsia="zh-CN"/>
        </w:rPr>
        <w:t>。</w:t>
      </w:r>
    </w:p>
    <w:p w14:paraId="4E8DD814">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rPr>
      </w:pPr>
      <w:r>
        <w:rPr>
          <w:rFonts w:hint="eastAsia" w:ascii="Times New Roman" w:hAnsi="Times New Roman" w:eastAsia="仿宋" w:cs="Times New Roman"/>
          <w:color w:val="000000" w:themeColor="text1"/>
          <w:sz w:val="28"/>
          <w:szCs w:val="28"/>
          <w14:textFill>
            <w14:solidFill>
              <w14:schemeClr w14:val="tx1"/>
            </w14:solidFill>
          </w14:textFill>
        </w:rPr>
        <w:t>本分包合同所有交付成果</w:t>
      </w:r>
      <w:r>
        <w:rPr>
          <w:rFonts w:hint="eastAsia" w:ascii="Times New Roman" w:hAnsi="Times New Roman" w:eastAsia="仿宋" w:cs="Times New Roman"/>
          <w:sz w:val="28"/>
          <w:szCs w:val="28"/>
        </w:rPr>
        <w:t>均须以中英文双语形式提交，如表述出现不一致或矛盾，以中文为准。</w:t>
      </w:r>
    </w:p>
    <w:p w14:paraId="7A09B998">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本分包合同的交付成果将为实现以下项目文件</w:t>
      </w:r>
      <w:r>
        <w:rPr>
          <w:rStyle w:val="17"/>
          <w:rFonts w:ascii="Times New Roman" w:hAnsi="Times New Roman" w:eastAsia="仿宋" w:cs="Times New Roman"/>
          <w:color w:val="000000" w:themeColor="text1"/>
          <w:sz w:val="28"/>
          <w:szCs w:val="28"/>
          <w14:textFill>
            <w14:solidFill>
              <w14:schemeClr w14:val="tx1"/>
            </w14:solidFill>
          </w14:textFill>
        </w:rPr>
        <w:footnoteReference w:id="4"/>
      </w:r>
      <w:r>
        <w:rPr>
          <w:rFonts w:hint="eastAsia" w:ascii="Times New Roman" w:hAnsi="Times New Roman" w:eastAsia="仿宋" w:cs="Times New Roman"/>
          <w:color w:val="000000" w:themeColor="text1"/>
          <w:sz w:val="28"/>
          <w:szCs w:val="28"/>
          <w14:textFill>
            <w14:solidFill>
              <w14:schemeClr w14:val="tx1"/>
            </w14:solidFill>
          </w14:textFill>
        </w:rPr>
        <w:t>中的项目开发目标（</w:t>
      </w:r>
      <w:r>
        <w:rPr>
          <w:rFonts w:ascii="Times New Roman" w:hAnsi="Times New Roman" w:eastAsia="仿宋" w:cs="Times New Roman"/>
          <w:color w:val="000000" w:themeColor="text1"/>
          <w:sz w:val="28"/>
          <w:szCs w:val="28"/>
          <w14:textFill>
            <w14:solidFill>
              <w14:schemeClr w14:val="tx1"/>
            </w14:solidFill>
          </w14:textFill>
        </w:rPr>
        <w:t>PDO</w:t>
      </w:r>
      <w:r>
        <w:rPr>
          <w:rFonts w:hint="eastAsia" w:ascii="Times New Roman" w:hAnsi="Times New Roman" w:eastAsia="仿宋" w:cs="Times New Roman"/>
          <w:color w:val="000000" w:themeColor="text1"/>
          <w:sz w:val="28"/>
          <w:szCs w:val="28"/>
          <w14:textFill>
            <w14:solidFill>
              <w14:schemeClr w14:val="tx1"/>
            </w14:solidFill>
          </w14:textFill>
        </w:rPr>
        <w:t>）及中期指标作出贡献：</w:t>
      </w:r>
    </w:p>
    <w:tbl>
      <w:tblPr>
        <w:tblStyle w:val="13"/>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361D2F2E">
        <w:trPr>
          <w:tblHeader/>
        </w:trPr>
        <w:tc>
          <w:tcPr>
            <w:tcW w:w="1913" w:type="dxa"/>
            <w:tcBorders>
              <w:tl2br w:val="nil"/>
              <w:tr2bl w:val="nil"/>
            </w:tcBorders>
            <w:vAlign w:val="center"/>
          </w:tcPr>
          <w:p w14:paraId="013807E6">
            <w:pPr>
              <w:pStyle w:val="2"/>
              <w:ind w:firstLine="0" w:firstLineChars="0"/>
              <w:jc w:val="center"/>
              <w:rPr>
                <w:rFonts w:ascii="Times New Roman" w:hAnsi="Times New Roman" w:eastAsia="仿宋" w:cs="Times New Roman"/>
                <w:b/>
                <w:bCs/>
                <w:sz w:val="24"/>
              </w:rPr>
            </w:pPr>
            <w:r>
              <w:rPr>
                <w:rFonts w:hint="eastAsia" w:ascii="Times New Roman" w:hAnsi="Times New Roman" w:eastAsia="仿宋" w:cs="Times New Roman"/>
                <w:b/>
                <w:bCs/>
                <w:sz w:val="24"/>
              </w:rPr>
              <w:t>预期交付成果</w:t>
            </w:r>
          </w:p>
        </w:tc>
        <w:tc>
          <w:tcPr>
            <w:tcW w:w="4763" w:type="dxa"/>
            <w:tcBorders>
              <w:tl2br w:val="nil"/>
              <w:tr2bl w:val="nil"/>
            </w:tcBorders>
            <w:vAlign w:val="center"/>
          </w:tcPr>
          <w:p w14:paraId="456C4EC9">
            <w:pPr>
              <w:pStyle w:val="2"/>
              <w:ind w:firstLine="0" w:firstLineChars="0"/>
              <w:jc w:val="center"/>
              <w:rPr>
                <w:rFonts w:ascii="Times New Roman" w:hAnsi="Times New Roman" w:eastAsia="仿宋" w:cs="Times New Roman"/>
                <w:b/>
                <w:bCs/>
                <w:sz w:val="24"/>
              </w:rPr>
            </w:pPr>
            <w:r>
              <w:rPr>
                <w:rFonts w:hint="eastAsia" w:ascii="Times New Roman" w:hAnsi="Times New Roman" w:eastAsia="仿宋" w:cs="Times New Roman"/>
                <w:b/>
                <w:bCs/>
                <w:sz w:val="24"/>
              </w:rPr>
              <w:t>指标</w:t>
            </w:r>
          </w:p>
        </w:tc>
        <w:tc>
          <w:tcPr>
            <w:tcW w:w="1845" w:type="dxa"/>
            <w:tcBorders>
              <w:tl2br w:val="nil"/>
              <w:tr2bl w:val="nil"/>
            </w:tcBorders>
            <w:vAlign w:val="center"/>
          </w:tcPr>
          <w:p w14:paraId="1CF29F7B">
            <w:pPr>
              <w:pStyle w:val="2"/>
              <w:ind w:firstLine="0" w:firstLineChars="0"/>
              <w:jc w:val="center"/>
              <w:rPr>
                <w:rFonts w:ascii="Times New Roman" w:hAnsi="Times New Roman" w:eastAsia="仿宋" w:cs="Times New Roman"/>
                <w:b/>
                <w:bCs/>
                <w:sz w:val="24"/>
              </w:rPr>
            </w:pPr>
            <w:r>
              <w:rPr>
                <w:rFonts w:hint="eastAsia" w:ascii="Times New Roman" w:hAnsi="Times New Roman" w:eastAsia="仿宋" w:cs="Times New Roman"/>
                <w:b/>
                <w:bCs/>
                <w:sz w:val="24"/>
              </w:rPr>
              <w:t>贡献类型</w:t>
            </w:r>
          </w:p>
        </w:tc>
      </w:tr>
      <w:tr w14:paraId="3F0AB675">
        <w:tc>
          <w:tcPr>
            <w:tcW w:w="1913" w:type="dxa"/>
            <w:tcBorders>
              <w:tl2br w:val="nil"/>
              <w:tr2bl w:val="nil"/>
            </w:tcBorders>
            <w:vAlign w:val="center"/>
          </w:tcPr>
          <w:p w14:paraId="280240FA">
            <w:pPr>
              <w:pStyle w:val="2"/>
              <w:ind w:firstLine="0" w:firstLineChars="0"/>
              <w:jc w:val="center"/>
              <w:rPr>
                <w:rFonts w:ascii="Times New Roman" w:hAnsi="Times New Roman" w:eastAsia="仿宋" w:cs="Times New Roman"/>
                <w:sz w:val="24"/>
              </w:rPr>
            </w:pPr>
            <w:r>
              <w:rPr>
                <w:rFonts w:hint="eastAsia" w:ascii="Times New Roman" w:hAnsi="Times New Roman" w:eastAsia="仿宋" w:cs="Times New Roman"/>
                <w:sz w:val="24"/>
              </w:rPr>
              <w:t>交付成果</w:t>
            </w:r>
            <w:r>
              <w:rPr>
                <w:rFonts w:ascii="Times New Roman" w:hAnsi="Times New Roman" w:eastAsia="仿宋" w:cs="Times New Roman"/>
                <w:sz w:val="24"/>
              </w:rPr>
              <w:t>4.1</w:t>
            </w:r>
            <w:r>
              <w:rPr>
                <w:rFonts w:hint="eastAsia" w:ascii="Times New Roman" w:hAnsi="Times New Roman" w:eastAsia="仿宋" w:cs="Times New Roman"/>
                <w:sz w:val="24"/>
              </w:rPr>
              <w:t>、4.2、</w:t>
            </w:r>
            <w:r>
              <w:rPr>
                <w:rFonts w:ascii="Times New Roman" w:hAnsi="Times New Roman" w:eastAsia="仿宋" w:cs="Times New Roman"/>
                <w:sz w:val="24"/>
              </w:rPr>
              <w:t>4.3</w:t>
            </w:r>
          </w:p>
        </w:tc>
        <w:tc>
          <w:tcPr>
            <w:tcW w:w="4763" w:type="dxa"/>
            <w:tcBorders>
              <w:tl2br w:val="nil"/>
              <w:tr2bl w:val="nil"/>
            </w:tcBorders>
            <w:vAlign w:val="center"/>
          </w:tcPr>
          <w:p w14:paraId="7A2D3F3A">
            <w:pPr>
              <w:pStyle w:val="2"/>
              <w:ind w:firstLine="0" w:firstLineChars="0"/>
              <w:jc w:val="left"/>
              <w:rPr>
                <w:rFonts w:ascii="Times New Roman" w:hAnsi="Times New Roman" w:eastAsia="仿宋" w:cs="Times New Roman"/>
                <w:sz w:val="24"/>
              </w:rPr>
            </w:pPr>
            <w:r>
              <w:rPr>
                <w:rFonts w:hint="eastAsia" w:ascii="Times New Roman" w:hAnsi="Times New Roman" w:eastAsia="仿宋" w:cs="Times New Roman"/>
                <w:sz w:val="24"/>
              </w:rPr>
              <w:t>项目文件</w:t>
            </w:r>
            <w:r>
              <w:rPr>
                <w:rFonts w:ascii="Times New Roman" w:hAnsi="Times New Roman" w:eastAsia="仿宋" w:cs="Times New Roman"/>
                <w:sz w:val="24"/>
              </w:rPr>
              <w:t>PDO</w:t>
            </w:r>
            <w:r>
              <w:rPr>
                <w:rFonts w:hint="eastAsia" w:ascii="Times New Roman" w:hAnsi="Times New Roman" w:eastAsia="仿宋" w:cs="Times New Roman"/>
                <w:sz w:val="24"/>
              </w:rPr>
              <w:t>指标</w:t>
            </w:r>
            <w:r>
              <w:rPr>
                <w:rFonts w:ascii="Times New Roman" w:hAnsi="Times New Roman" w:eastAsia="仿宋" w:cs="Times New Roman"/>
                <w:sz w:val="24"/>
              </w:rPr>
              <w:t>2</w:t>
            </w:r>
            <w:r>
              <w:rPr>
                <w:rFonts w:hint="eastAsia" w:ascii="Times New Roman" w:hAnsi="Times New Roman" w:eastAsia="仿宋" w:cs="Times New Roman"/>
                <w:sz w:val="24"/>
              </w:rPr>
              <w:t>——完成3个新增行业共计6项技术指南（草案及终稿）的编制，并通过生态环境部官网发布</w:t>
            </w:r>
          </w:p>
        </w:tc>
        <w:tc>
          <w:tcPr>
            <w:tcW w:w="1845" w:type="dxa"/>
            <w:tcBorders>
              <w:tl2br w:val="nil"/>
              <w:tr2bl w:val="nil"/>
            </w:tcBorders>
            <w:vAlign w:val="center"/>
          </w:tcPr>
          <w:p w14:paraId="3D6D67A2">
            <w:pPr>
              <w:pStyle w:val="2"/>
              <w:ind w:firstLine="0" w:firstLineChars="0"/>
              <w:jc w:val="center"/>
              <w:rPr>
                <w:rFonts w:ascii="Times New Roman" w:hAnsi="Times New Roman" w:eastAsia="仿宋" w:cs="Times New Roman"/>
                <w:sz w:val="24"/>
              </w:rPr>
            </w:pPr>
            <w:r>
              <w:rPr>
                <w:rFonts w:hint="eastAsia" w:ascii="Times New Roman" w:hAnsi="Times New Roman" w:eastAsia="仿宋" w:cs="Times New Roman"/>
                <w:sz w:val="24"/>
              </w:rPr>
              <w:t>间接贡献</w:t>
            </w:r>
          </w:p>
        </w:tc>
      </w:tr>
    </w:tbl>
    <w:p w14:paraId="55C2FE4B">
      <w:pPr>
        <w:spacing w:line="360" w:lineRule="auto"/>
        <w:rPr>
          <w:rFonts w:ascii="Times New Roman" w:hAnsi="Times New Roman" w:eastAsia="仿宋" w:cs="Times New Roman"/>
          <w:sz w:val="24"/>
        </w:rPr>
      </w:pPr>
    </w:p>
    <w:p w14:paraId="55730EB4">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五、付款条件及进度安排</w:t>
      </w:r>
    </w:p>
    <w:p w14:paraId="5637E103">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本分包合同的主要任务应在</w:t>
      </w:r>
      <w:r>
        <w:rPr>
          <w:rFonts w:ascii="Times New Roman" w:hAnsi="Times New Roman" w:eastAsia="仿宋" w:cs="Times New Roman"/>
          <w:sz w:val="28"/>
          <w:szCs w:val="28"/>
        </w:rPr>
        <w:t>10</w:t>
      </w:r>
      <w:r>
        <w:rPr>
          <w:rFonts w:hint="eastAsia" w:ascii="Times New Roman" w:hAnsi="Times New Roman" w:eastAsia="仿宋" w:cs="Times New Roman"/>
          <w:sz w:val="28"/>
          <w:szCs w:val="28"/>
        </w:rPr>
        <w:t>个月内完成，即所有关键交付成果须在</w:t>
      </w:r>
      <w:r>
        <w:rPr>
          <w:rFonts w:ascii="Times New Roman" w:hAnsi="Times New Roman" w:eastAsia="仿宋" w:cs="Times New Roman"/>
          <w:sz w:val="28"/>
          <w:szCs w:val="28"/>
        </w:rPr>
        <w:t>10</w:t>
      </w:r>
      <w:r>
        <w:rPr>
          <w:rFonts w:hint="eastAsia" w:ascii="Times New Roman" w:hAnsi="Times New Roman" w:eastAsia="仿宋" w:cs="Times New Roman"/>
          <w:sz w:val="28"/>
          <w:szCs w:val="28"/>
        </w:rPr>
        <w:t>个月内提交。为确保交付成果的质量，分包合同承担单位应秉持积极的协作精神，根据</w:t>
      </w:r>
      <w:r>
        <w:rPr>
          <w:rFonts w:ascii="Times New Roman" w:hAnsi="Times New Roman" w:eastAsia="仿宋" w:cs="Times New Roman"/>
          <w:sz w:val="28"/>
          <w:szCs w:val="28"/>
        </w:rPr>
        <w:t>PMO</w:t>
      </w:r>
      <w:r>
        <w:rPr>
          <w:rFonts w:hint="eastAsia" w:ascii="Times New Roman" w:hAnsi="Times New Roman" w:eastAsia="仿宋" w:cs="Times New Roman"/>
          <w:sz w:val="28"/>
          <w:szCs w:val="28"/>
        </w:rPr>
        <w:t>的要求，对交付成果进行更新、完善与优化，并提供相关技术支持。</w:t>
      </w:r>
    </w:p>
    <w:p w14:paraId="11AA31FB">
      <w:pPr>
        <w:ind w:firstLine="560" w:firstLineChars="200"/>
        <w:rPr>
          <w:rFonts w:ascii="Times New Roman" w:hAnsi="Times New Roman" w:eastAsia="仿宋" w:cs="Times New Roman"/>
          <w:sz w:val="24"/>
        </w:rPr>
      </w:pPr>
      <w:r>
        <w:rPr>
          <w:rFonts w:hint="eastAsia" w:ascii="Times New Roman" w:hAnsi="Times New Roman" w:eastAsia="仿宋" w:cs="Times New Roman"/>
          <w:sz w:val="28"/>
          <w:szCs w:val="28"/>
        </w:rPr>
        <w:t>本分包合同的款项将分为</w:t>
      </w:r>
      <w:r>
        <w:rPr>
          <w:rFonts w:ascii="Times New Roman" w:hAnsi="Times New Roman" w:eastAsia="仿宋" w:cs="Times New Roman"/>
          <w:sz w:val="28"/>
          <w:szCs w:val="28"/>
        </w:rPr>
        <w:t>3</w:t>
      </w:r>
      <w:r>
        <w:rPr>
          <w:rFonts w:hint="eastAsia" w:ascii="Times New Roman" w:hAnsi="Times New Roman" w:eastAsia="仿宋" w:cs="Times New Roman"/>
          <w:sz w:val="28"/>
          <w:szCs w:val="28"/>
        </w:rPr>
        <w:t>笔支付。承担单位在提交下表中各期付款所要求的全部文件，且文件经</w:t>
      </w:r>
      <w:r>
        <w:rPr>
          <w:rFonts w:ascii="Times New Roman" w:hAnsi="Times New Roman" w:eastAsia="仿宋" w:cs="Times New Roman"/>
          <w:sz w:val="28"/>
          <w:szCs w:val="28"/>
        </w:rPr>
        <w:t>PMO</w:t>
      </w:r>
      <w:r>
        <w:rPr>
          <w:rFonts w:hint="eastAsia" w:ascii="Times New Roman" w:hAnsi="Times New Roman" w:eastAsia="仿宋" w:cs="Times New Roman"/>
          <w:sz w:val="28"/>
          <w:szCs w:val="28"/>
        </w:rPr>
        <w:t>技术评审并通过专家评审会议满意验收后，方可获得相应款项。交付成果提交及付款的具体时间建议如下：</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6AF2D78C">
        <w:trPr>
          <w:trHeight w:val="462" w:hRule="atLeast"/>
          <w:tblHeader/>
        </w:trPr>
        <w:tc>
          <w:tcPr>
            <w:tcW w:w="473" w:type="pct"/>
            <w:vAlign w:val="center"/>
          </w:tcPr>
          <w:p w14:paraId="0F0ADCDE">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序号</w:t>
            </w:r>
          </w:p>
        </w:tc>
        <w:tc>
          <w:tcPr>
            <w:tcW w:w="2710" w:type="pct"/>
            <w:vAlign w:val="center"/>
          </w:tcPr>
          <w:p w14:paraId="32B100A7">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交付成果及进度</w:t>
            </w:r>
          </w:p>
        </w:tc>
        <w:tc>
          <w:tcPr>
            <w:tcW w:w="1033" w:type="pct"/>
            <w:vAlign w:val="center"/>
          </w:tcPr>
          <w:p w14:paraId="2757D77D">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预计交付时间</w:t>
            </w:r>
          </w:p>
        </w:tc>
        <w:tc>
          <w:tcPr>
            <w:tcW w:w="782" w:type="pct"/>
            <w:vAlign w:val="center"/>
          </w:tcPr>
          <w:p w14:paraId="1E731479">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支付比例</w:t>
            </w:r>
            <w:r>
              <w:rPr>
                <w:rFonts w:ascii="Times New Roman" w:hAnsi="Times New Roman" w:eastAsia="仿宋" w:cs="Times New Roman"/>
                <w:b/>
                <w:bCs/>
                <w:sz w:val="24"/>
              </w:rPr>
              <w:t xml:space="preserve"> </w:t>
            </w:r>
          </w:p>
        </w:tc>
      </w:tr>
      <w:tr w14:paraId="3CE48885">
        <w:tc>
          <w:tcPr>
            <w:tcW w:w="473" w:type="pct"/>
            <w:vAlign w:val="center"/>
          </w:tcPr>
          <w:p w14:paraId="7E91AB63">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w:t>
            </w:r>
          </w:p>
        </w:tc>
        <w:tc>
          <w:tcPr>
            <w:tcW w:w="2710" w:type="pct"/>
            <w:vAlign w:val="center"/>
          </w:tcPr>
          <w:p w14:paraId="2663AC40">
            <w:pPr>
              <w:pStyle w:val="24"/>
              <w:numPr>
                <w:ilvl w:val="0"/>
                <w:numId w:val="2"/>
              </w:numPr>
              <w:spacing w:before="156" w:beforeLines="50" w:after="156" w:afterLines="50"/>
              <w:rPr>
                <w:rFonts w:ascii="Times New Roman" w:hAnsi="Times New Roman" w:eastAsia="仿宋" w:cs="Times New Roman"/>
                <w:sz w:val="24"/>
              </w:rPr>
            </w:pPr>
            <w:r>
              <w:rPr>
                <w:rFonts w:hint="eastAsia" w:ascii="Times New Roman" w:hAnsi="Times New Roman" w:eastAsia="仿宋" w:cs="Times New Roman"/>
                <w:sz w:val="24"/>
              </w:rPr>
              <w:t>详细的分包任务实施方案（含详细研究方案、工作计划及研究报告大纲）</w:t>
            </w:r>
          </w:p>
        </w:tc>
        <w:tc>
          <w:tcPr>
            <w:tcW w:w="1033" w:type="pct"/>
            <w:vAlign w:val="center"/>
          </w:tcPr>
          <w:p w14:paraId="40458087">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w:t>
            </w:r>
            <w:r>
              <w:rPr>
                <w:rFonts w:ascii="Times New Roman" w:hAnsi="Times New Roman" w:eastAsia="仿宋" w:cs="Times New Roman"/>
                <w:sz w:val="24"/>
              </w:rPr>
              <w:t>2</w:t>
            </w:r>
            <w:r>
              <w:rPr>
                <w:rFonts w:hint="eastAsia" w:ascii="Times New Roman" w:hAnsi="Times New Roman" w:eastAsia="仿宋" w:cs="Times New Roman"/>
                <w:sz w:val="24"/>
              </w:rPr>
              <w:t>个月内</w:t>
            </w:r>
          </w:p>
        </w:tc>
        <w:tc>
          <w:tcPr>
            <w:tcW w:w="782" w:type="pct"/>
            <w:vAlign w:val="center"/>
          </w:tcPr>
          <w:p w14:paraId="193D4120">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15%</w:t>
            </w:r>
          </w:p>
        </w:tc>
      </w:tr>
      <w:tr w14:paraId="749D4A60">
        <w:tc>
          <w:tcPr>
            <w:tcW w:w="473" w:type="pct"/>
            <w:vAlign w:val="center"/>
          </w:tcPr>
          <w:p w14:paraId="599355F0">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2</w:t>
            </w:r>
          </w:p>
        </w:tc>
        <w:tc>
          <w:tcPr>
            <w:tcW w:w="2710" w:type="pct"/>
            <w:vAlign w:val="center"/>
          </w:tcPr>
          <w:p w14:paraId="1765EEDB">
            <w:pPr>
              <w:pStyle w:val="24"/>
              <w:numPr>
                <w:ilvl w:val="0"/>
                <w:numId w:val="3"/>
              </w:numPr>
              <w:spacing w:before="156" w:beforeLines="50" w:after="156" w:afterLines="5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交付成果4.1、交付成果4.2、交付成果4.3初稿</w:t>
            </w:r>
          </w:p>
        </w:tc>
        <w:tc>
          <w:tcPr>
            <w:tcW w:w="1033" w:type="pct"/>
            <w:vAlign w:val="center"/>
          </w:tcPr>
          <w:p w14:paraId="31754B8E">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合同签署后6个月内</w:t>
            </w:r>
          </w:p>
        </w:tc>
        <w:tc>
          <w:tcPr>
            <w:tcW w:w="782" w:type="pct"/>
            <w:vAlign w:val="center"/>
          </w:tcPr>
          <w:p w14:paraId="301BA2AD">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50%</w:t>
            </w:r>
          </w:p>
        </w:tc>
      </w:tr>
      <w:tr w14:paraId="40B0D55D">
        <w:tc>
          <w:tcPr>
            <w:tcW w:w="473" w:type="pct"/>
            <w:vAlign w:val="center"/>
          </w:tcPr>
          <w:p w14:paraId="19B9BF60">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3</w:t>
            </w:r>
          </w:p>
        </w:tc>
        <w:tc>
          <w:tcPr>
            <w:tcW w:w="2710" w:type="pct"/>
            <w:vAlign w:val="center"/>
          </w:tcPr>
          <w:p w14:paraId="260F6DA4">
            <w:pPr>
              <w:pStyle w:val="24"/>
              <w:numPr>
                <w:ilvl w:val="0"/>
                <w:numId w:val="4"/>
              </w:numPr>
              <w:spacing w:before="156" w:beforeLines="50" w:after="156" w:afterLines="50"/>
              <w:rPr>
                <w:rFonts w:ascii="Times New Roman" w:hAnsi="Times New Roman" w:eastAsia="仿宋" w:cs="Times New Roman"/>
                <w:sz w:val="24"/>
              </w:rPr>
            </w:pPr>
            <w:r>
              <w:rPr>
                <w:rFonts w:hint="eastAsia" w:ascii="Times New Roman" w:hAnsi="Times New Roman" w:eastAsia="仿宋" w:cs="Times New Roman"/>
                <w:sz w:val="24"/>
              </w:rPr>
              <w:t>上述所有最终报告</w:t>
            </w:r>
          </w:p>
        </w:tc>
        <w:tc>
          <w:tcPr>
            <w:tcW w:w="1033" w:type="pct"/>
            <w:vAlign w:val="center"/>
          </w:tcPr>
          <w:p w14:paraId="0DE608B8">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合同签署后9个月内</w:t>
            </w:r>
          </w:p>
        </w:tc>
        <w:tc>
          <w:tcPr>
            <w:tcW w:w="782" w:type="pct"/>
            <w:vAlign w:val="center"/>
          </w:tcPr>
          <w:p w14:paraId="2578DBF7">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35%</w:t>
            </w:r>
          </w:p>
        </w:tc>
      </w:tr>
    </w:tbl>
    <w:p w14:paraId="67E5A896">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承担单位应在项目建议书中制定详细的项目时间表，明确各项交付成果的提交时间安排。交付成果提交及付款的最终时间安排以合同条款与条件为准。</w:t>
      </w:r>
    </w:p>
    <w:p w14:paraId="75AD12B7">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根据分包合同实施的实际情况，经双方协商一致，可对合同进行适当的修订或续签。</w:t>
      </w:r>
    </w:p>
    <w:p w14:paraId="4B096AFA">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六、咨询服务单位资质及团队要求</w:t>
      </w:r>
    </w:p>
    <w:p w14:paraId="1C6D4F6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 xml:space="preserve">6.1 </w:t>
      </w:r>
      <w:r>
        <w:rPr>
          <w:rFonts w:hint="eastAsia" w:ascii="Times New Roman" w:hAnsi="Times New Roman" w:eastAsia="仿宋" w:cs="Times New Roman"/>
          <w:color w:val="000000" w:themeColor="text1"/>
          <w:sz w:val="28"/>
          <w:szCs w:val="28"/>
          <w14:textFill>
            <w14:solidFill>
              <w14:schemeClr w14:val="tx1"/>
            </w14:solidFill>
          </w14:textFill>
        </w:rPr>
        <w:t>课题承接单位要求</w:t>
      </w:r>
    </w:p>
    <w:p w14:paraId="6969313C">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b/>
          <w:bCs/>
          <w:sz w:val="28"/>
          <w:szCs w:val="28"/>
        </w:rPr>
        <w:t>本项目允许联合体参与投标，联合体各方应满足本工作任务大纲所要求的资质条件，且需满足《中华人民共和国政府采购法》第二十二条规定，并明确牵头单位和参与单位的各方职责分工。</w:t>
      </w:r>
    </w:p>
    <w:p w14:paraId="455D2ACF">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本项目分包任务旨在从行业技术层面和政策评估层面开展研究和评估，要求承担单位具备以下经验：</w:t>
      </w:r>
    </w:p>
    <w:p w14:paraId="5389FF20">
      <w:pPr>
        <w:numPr>
          <w:ilvl w:val="0"/>
          <w:numId w:val="5"/>
        </w:numPr>
        <w:autoSpaceDE w:val="0"/>
        <w:autoSpaceDN w:val="0"/>
        <w:adjustRightInd w:val="0"/>
        <w:spacing w:line="600" w:lineRule="exact"/>
        <w:rPr>
          <w:rFonts w:ascii="Times New Roman" w:hAnsi="Times New Roman" w:eastAsia="仿宋" w:cs="Times New Roman"/>
          <w:sz w:val="28"/>
          <w:szCs w:val="28"/>
        </w:rPr>
      </w:pPr>
      <w:bookmarkStart w:id="0" w:name="_GoBack"/>
      <w:r>
        <w:rPr>
          <w:rFonts w:hint="eastAsia" w:ascii="Times New Roman" w:hAnsi="Times New Roman" w:eastAsia="仿宋" w:cs="Times New Roman"/>
          <w:sz w:val="28"/>
          <w:szCs w:val="28"/>
        </w:rPr>
        <w:t>对全国碳排放权交易市场建设相关政策、要求、发展方向具有深刻的认识，熟悉民航行业碳排放特点和MRV体系的技术规范与实践进展；</w:t>
      </w:r>
    </w:p>
    <w:p w14:paraId="0D6C2714">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具有承担国家级或省部级政策研究项目的经历，特别是与碳市场、民航行业、碳排放数据管理等相关的政策咨询和决策支持研究经验；</w:t>
      </w:r>
    </w:p>
    <w:p w14:paraId="1CA41F28">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具备协调典型民航运输企业提供现场调研支持的能力，能够有效组织与企业、核查机构、行业协会、主管部门等利益相关方的调研访谈和专题研讨会；</w:t>
      </w:r>
    </w:p>
    <w:p w14:paraId="5857394E">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具备国际交流合作基础，能够获取国际碳市场民航行业配额管理及MRV体系的最新动态和实践经验。</w:t>
      </w:r>
      <w:bookmarkEnd w:id="0"/>
    </w:p>
    <w:p w14:paraId="2B4B46FA">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 xml:space="preserve">6.2 </w:t>
      </w:r>
      <w:r>
        <w:rPr>
          <w:rFonts w:hint="eastAsia" w:ascii="Times New Roman" w:hAnsi="Times New Roman" w:eastAsia="仿宋" w:cs="Times New Roman"/>
          <w:color w:val="000000" w:themeColor="text1"/>
          <w:sz w:val="28"/>
          <w:szCs w:val="28"/>
          <w14:textFill>
            <w14:solidFill>
              <w14:schemeClr w14:val="tx1"/>
            </w14:solidFill>
          </w14:textFill>
        </w:rPr>
        <w:t>课题研究团队要求</w:t>
      </w:r>
    </w:p>
    <w:p w14:paraId="48C061C4">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项目团队应不少于10人，确保项目实施有充足且专业的人员投入。团队构成应至少包括研究人员、项目与财务管理人员、环境社会风险管控人员等。</w:t>
      </w:r>
    </w:p>
    <w:p w14:paraId="52D66C5B">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项目团队应设置项目负责人，负责项目总体规划、任务部署、进度把控及成果质量等工作，且应具备以下条件：</w:t>
      </w:r>
    </w:p>
    <w:p w14:paraId="3B071C0B">
      <w:pPr>
        <w:numPr>
          <w:ilvl w:val="0"/>
          <w:numId w:val="7"/>
        </w:numPr>
        <w:adjustRightInd w:val="0"/>
        <w:snapToGrid w:val="0"/>
        <w:spacing w:line="360" w:lineRule="auto"/>
        <w:ind w:firstLine="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在碳市场、</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行业碳排放管理、环境政策或能源经济等领域具有</w:t>
      </w:r>
      <w:r>
        <w:rPr>
          <w:rFonts w:ascii="Times New Roman" w:hAnsi="Times New Roman" w:eastAsia="仿宋" w:cs="Times New Roman"/>
          <w:color w:val="000000" w:themeColor="text1"/>
          <w:sz w:val="28"/>
          <w:szCs w:val="28"/>
          <w14:textFill>
            <w14:solidFill>
              <w14:schemeClr w14:val="tx1"/>
            </w14:solidFill>
          </w14:textFill>
        </w:rPr>
        <w:t>5</w:t>
      </w:r>
      <w:r>
        <w:rPr>
          <w:rFonts w:hint="eastAsia" w:ascii="Times New Roman" w:hAnsi="Times New Roman" w:eastAsia="仿宋" w:cs="Times New Roman"/>
          <w:color w:val="000000" w:themeColor="text1"/>
          <w:sz w:val="28"/>
          <w:szCs w:val="28"/>
          <w14:textFill>
            <w14:solidFill>
              <w14:schemeClr w14:val="tx1"/>
            </w14:solidFill>
          </w14:textFill>
        </w:rPr>
        <w:t>年以上研究或政策咨询经验；或作为项目负责人，承担过至少</w:t>
      </w:r>
      <w:r>
        <w:rPr>
          <w:rFonts w:ascii="Times New Roman" w:hAnsi="Times New Roman" w:eastAsia="仿宋" w:cs="Times New Roman"/>
          <w:color w:val="000000" w:themeColor="text1"/>
          <w:sz w:val="28"/>
          <w:szCs w:val="28"/>
          <w14:textFill>
            <w14:solidFill>
              <w14:schemeClr w14:val="tx1"/>
            </w14:solidFill>
          </w14:textFill>
        </w:rPr>
        <w:t>1</w:t>
      </w:r>
      <w:r>
        <w:rPr>
          <w:rFonts w:hint="eastAsia" w:ascii="Times New Roman" w:hAnsi="Times New Roman" w:eastAsia="仿宋" w:cs="Times New Roman"/>
          <w:color w:val="000000" w:themeColor="text1"/>
          <w:sz w:val="28"/>
          <w:szCs w:val="28"/>
          <w14:textFill>
            <w14:solidFill>
              <w14:schemeClr w14:val="tx1"/>
            </w14:solidFill>
          </w14:textFill>
        </w:rPr>
        <w:t>项国家部委或省级政府委托的碳市场、</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行业配额管理或MRV体系相关研究项目。</w:t>
      </w:r>
    </w:p>
    <w:p w14:paraId="3B896DFB">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sz w:val="28"/>
          <w:szCs w:val="28"/>
        </w:rPr>
        <w:t>项目团队应配备与工作大纲内容相符的研究人员，以支撑全部工作任务的完成，项目研究团队人员构成应满足以下条件：</w:t>
      </w:r>
    </w:p>
    <w:p w14:paraId="2E5968B4">
      <w:pPr>
        <w:numPr>
          <w:ilvl w:val="0"/>
          <w:numId w:val="7"/>
        </w:numPr>
        <w:adjustRightInd w:val="0"/>
        <w:snapToGrid w:val="0"/>
        <w:spacing w:line="360" w:lineRule="auto"/>
        <w:ind w:firstLine="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b/>
          <w:bCs/>
          <w:sz w:val="28"/>
          <w:szCs w:val="28"/>
        </w:rPr>
        <w:t>民航</w:t>
      </w:r>
      <w:r>
        <w:rPr>
          <w:rFonts w:hint="eastAsia" w:ascii="Times New Roman" w:hAnsi="Times New Roman" w:eastAsia="仿宋" w:cs="Times New Roman"/>
          <w:b/>
          <w:bCs/>
          <w:color w:val="000000" w:themeColor="text1"/>
          <w:sz w:val="28"/>
          <w:szCs w:val="28"/>
          <w14:textFill>
            <w14:solidFill>
              <w14:schemeClr w14:val="tx1"/>
            </w14:solidFill>
          </w14:textFill>
        </w:rPr>
        <w:t>行业配额管理研究方向</w:t>
      </w:r>
    </w:p>
    <w:p w14:paraId="117B222C">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在碳排放权交易或</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行业经济政策领域具有</w:t>
      </w:r>
      <w:r>
        <w:rPr>
          <w:rFonts w:ascii="Times New Roman" w:hAnsi="Times New Roman" w:eastAsia="仿宋" w:cs="Times New Roman"/>
          <w:color w:val="000000" w:themeColor="text1"/>
          <w:sz w:val="28"/>
          <w:szCs w:val="28"/>
          <w14:textFill>
            <w14:solidFill>
              <w14:schemeClr w14:val="tx1"/>
            </w14:solidFill>
          </w14:textFill>
        </w:rPr>
        <w:t>3</w:t>
      </w:r>
      <w:r>
        <w:rPr>
          <w:rFonts w:hint="eastAsia" w:ascii="Times New Roman" w:hAnsi="Times New Roman" w:eastAsia="仿宋" w:cs="Times New Roman"/>
          <w:color w:val="000000" w:themeColor="text1"/>
          <w:sz w:val="28"/>
          <w:szCs w:val="28"/>
          <w14:textFill>
            <w14:solidFill>
              <w14:schemeClr w14:val="tx1"/>
            </w14:solidFill>
          </w14:textFill>
        </w:rPr>
        <w:t>年以上工作经验，或曾以主要技术人员身份承担过</w:t>
      </w:r>
      <w:r>
        <w:rPr>
          <w:rFonts w:hint="eastAsia" w:ascii="Times New Roman" w:hAnsi="Times New Roman" w:eastAsia="仿宋" w:cs="Times New Roman"/>
          <w:strike w:val="0"/>
          <w:color w:val="000000" w:themeColor="text1"/>
          <w:sz w:val="28"/>
          <w:szCs w:val="28"/>
          <w:highlight w:val="none"/>
          <w14:textFill>
            <w14:solidFill>
              <w14:schemeClr w14:val="tx1"/>
            </w14:solidFill>
          </w14:textFill>
        </w:rPr>
        <w:t>民航</w:t>
      </w:r>
      <w:r>
        <w:rPr>
          <w:rFonts w:hint="eastAsia" w:ascii="Times New Roman" w:hAnsi="Times New Roman" w:eastAsia="仿宋" w:cs="Times New Roman"/>
          <w:color w:val="000000" w:themeColor="text1"/>
          <w:sz w:val="28"/>
          <w:szCs w:val="28"/>
          <w14:textFill>
            <w14:solidFill>
              <w14:schemeClr w14:val="tx1"/>
            </w14:solidFill>
          </w14:textFill>
        </w:rPr>
        <w:t>行业配额分配方案相关项目；</w:t>
      </w:r>
    </w:p>
    <w:p w14:paraId="20C34F0A">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熟悉全国碳排放权交易市场配额分配机制（包括基准线法、行业平衡值、总量控制路径等），具备系统性梳理和评估能力。</w:t>
      </w:r>
    </w:p>
    <w:p w14:paraId="08678D9B">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sz w:val="28"/>
          <w:szCs w:val="28"/>
        </w:rPr>
        <w:t>民航</w:t>
      </w:r>
      <w:r>
        <w:rPr>
          <w:rFonts w:hint="eastAsia" w:ascii="Times New Roman" w:hAnsi="Times New Roman" w:eastAsia="仿宋" w:cs="Times New Roman"/>
          <w:b/>
          <w:bCs/>
          <w:color w:val="000000" w:themeColor="text1"/>
          <w:sz w:val="28"/>
          <w:szCs w:val="28"/>
          <w14:textFill>
            <w14:solidFill>
              <w14:schemeClr w14:val="tx1"/>
            </w14:solidFill>
          </w14:textFill>
        </w:rPr>
        <w:t>行业MRV体系研究方向</w:t>
      </w:r>
    </w:p>
    <w:p w14:paraId="6E17A381">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在碳排放核算、报告与核查领域具有</w:t>
      </w:r>
      <w:r>
        <w:rPr>
          <w:rFonts w:ascii="Times New Roman" w:hAnsi="Times New Roman" w:eastAsia="仿宋" w:cs="Times New Roman"/>
          <w:color w:val="000000" w:themeColor="text1"/>
          <w:sz w:val="28"/>
          <w:szCs w:val="28"/>
          <w14:textFill>
            <w14:solidFill>
              <w14:schemeClr w14:val="tx1"/>
            </w14:solidFill>
          </w14:textFill>
        </w:rPr>
        <w:t>3</w:t>
      </w:r>
      <w:r>
        <w:rPr>
          <w:rFonts w:hint="eastAsia" w:ascii="Times New Roman" w:hAnsi="Times New Roman" w:eastAsia="仿宋" w:cs="Times New Roman"/>
          <w:color w:val="000000" w:themeColor="text1"/>
          <w:sz w:val="28"/>
          <w:szCs w:val="28"/>
          <w14:textFill>
            <w14:solidFill>
              <w14:schemeClr w14:val="tx1"/>
            </w14:solidFill>
          </w14:textFill>
        </w:rPr>
        <w:t>年以上工作经验，或曾以主要技术人员身份参与过</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行业MRV指南修订或核查技术规范制定项目；</w:t>
      </w:r>
    </w:p>
    <w:p w14:paraId="1F3C890A">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熟悉《</w:t>
      </w:r>
      <w:r>
        <w:rPr>
          <w:rFonts w:hint="eastAsia" w:ascii="Times New Roman" w:hAnsi="Times New Roman" w:eastAsia="仿宋" w:cs="Times New Roman"/>
          <w:sz w:val="28"/>
          <w:szCs w:val="28"/>
        </w:rPr>
        <w:t>中国民航企业温室气体排放核算方法与报告格式指南（试行）</w:t>
      </w:r>
      <w:r>
        <w:rPr>
          <w:rFonts w:hint="eastAsia" w:ascii="Times New Roman" w:hAnsi="Times New Roman" w:eastAsia="仿宋" w:cs="Times New Roman"/>
          <w:color w:val="000000" w:themeColor="text1"/>
          <w:sz w:val="28"/>
          <w:szCs w:val="28"/>
          <w14:textFill>
            <w14:solidFill>
              <w14:schemeClr w14:val="tx1"/>
            </w14:solidFill>
          </w14:textFill>
        </w:rPr>
        <w:t>》及核查相关技术规范，能够诊断核算难点和数据质量薄弱环节。</w:t>
      </w:r>
    </w:p>
    <w:p w14:paraId="34A86B7E">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国际经验对比分析方向</w:t>
      </w:r>
    </w:p>
    <w:p w14:paraId="4EECFD28">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在国际碳市场或</w:t>
      </w:r>
      <w:r>
        <w:rPr>
          <w:rFonts w:hint="eastAsia" w:ascii="Times New Roman" w:hAnsi="Times New Roman" w:eastAsia="仿宋" w:cs="Times New Roman"/>
          <w:sz w:val="28"/>
          <w:szCs w:val="28"/>
        </w:rPr>
        <w:t>民航</w:t>
      </w:r>
      <w:r>
        <w:rPr>
          <w:rFonts w:hint="eastAsia" w:ascii="Times New Roman" w:hAnsi="Times New Roman" w:eastAsia="仿宋" w:cs="Times New Roman"/>
          <w:color w:val="000000" w:themeColor="text1"/>
          <w:sz w:val="28"/>
          <w:szCs w:val="28"/>
          <w14:textFill>
            <w14:solidFill>
              <w14:schemeClr w14:val="tx1"/>
            </w14:solidFill>
          </w14:textFill>
        </w:rPr>
        <w:t>行业碳管理政策研究领域具有3年以上工作经验，具备以英文开展研究工作的能力；</w:t>
      </w:r>
    </w:p>
    <w:p w14:paraId="1F5DB4A4">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熟悉国际主要碳市场民航行业配额管理及MRV体系的制度设计与实践经验。</w:t>
      </w:r>
    </w:p>
    <w:p w14:paraId="7D4026DD">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企业诉求调研与数据分析方向</w:t>
      </w:r>
    </w:p>
    <w:p w14:paraId="70DB808F">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w:t>
      </w:r>
      <w:r>
        <w:rPr>
          <w:rFonts w:hint="eastAsia" w:ascii="Times New Roman" w:hAnsi="Times New Roman" w:eastAsia="仿宋" w:cs="Times New Roman"/>
          <w:sz w:val="28"/>
          <w:szCs w:val="28"/>
        </w:rPr>
        <w:t>民航运输</w:t>
      </w:r>
      <w:r>
        <w:rPr>
          <w:rFonts w:hint="eastAsia" w:ascii="Times New Roman" w:hAnsi="Times New Roman" w:eastAsia="仿宋" w:cs="Times New Roman"/>
          <w:color w:val="000000" w:themeColor="text1"/>
          <w:sz w:val="28"/>
          <w:szCs w:val="28"/>
          <w14:textFill>
            <w14:solidFill>
              <w14:schemeClr w14:val="tx1"/>
            </w14:solidFill>
          </w14:textFill>
        </w:rPr>
        <w:t>行业企业调研、数据收集与分析领域具有3年以上工作经历，或曾以主要技术人员身份参与过企业碳排放数据统计分析或问卷调研项目；</w:t>
      </w:r>
    </w:p>
    <w:p w14:paraId="6A942CFF">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具备设计问卷、组织调研访谈、处理企业级碳排放数据的能力。</w:t>
      </w:r>
    </w:p>
    <w:p w14:paraId="19F4E89C">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其他辅助研究人员</w:t>
      </w:r>
    </w:p>
    <w:p w14:paraId="13814E43">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根据研究工作实际需要，配备在相关研究领域具有2年以上工作经验的成员；</w:t>
      </w:r>
    </w:p>
    <w:p w14:paraId="2D8A2EAB">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具备承担资料收集、数据分析、报告撰写、会议组织等技术支持工作的能力。</w:t>
      </w:r>
    </w:p>
    <w:p w14:paraId="59377599">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29D3C739">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项目团队需配备财务管理</w:t>
      </w:r>
      <w:r>
        <w:rPr>
          <w:rFonts w:ascii="Times New Roman" w:hAnsi="Times New Roman" w:eastAsia="仿宋" w:cs="Times New Roman"/>
          <w:color w:val="000000" w:themeColor="text1"/>
          <w:sz w:val="28"/>
          <w:szCs w:val="28"/>
          <w14:textFill>
            <w14:solidFill>
              <w14:schemeClr w14:val="tx1"/>
            </w14:solidFill>
          </w14:textFill>
        </w:rPr>
        <w:t>1</w:t>
      </w:r>
      <w:r>
        <w:rPr>
          <w:rFonts w:hint="eastAsia" w:ascii="Times New Roman" w:hAnsi="Times New Roman" w:eastAsia="仿宋" w:cs="Times New Roman"/>
          <w:color w:val="000000" w:themeColor="text1"/>
          <w:sz w:val="28"/>
          <w:szCs w:val="28"/>
          <w14:textFill>
            <w14:solidFill>
              <w14:schemeClr w14:val="tx1"/>
            </w14:solidFill>
          </w14:textFill>
        </w:rPr>
        <w:t>人，按照世界银行相关政策要求，负责本项目财务日常管理、编制项目财务报告，并配合提交项目监督管理及审计所需的所有资料。</w:t>
      </w:r>
    </w:p>
    <w:p w14:paraId="017AF7EE">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七、环境社会风险要求</w:t>
      </w:r>
    </w:p>
    <w:p w14:paraId="3A2AA3BA">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ESMF）、环境和社会承诺计划（ESCP）及利益相关方参与计划（SEP）的相关要求。</w:t>
      </w:r>
    </w:p>
    <w:p w14:paraId="2C60D13C">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根据项目管理办公室所聘请的环境社会专家的意见，确定本分包任务所需要准备的环境、社会文件的类型及要求（文件类型指的是根据研究课题的类型准备相应文件）。</w:t>
      </w:r>
    </w:p>
    <w:p w14:paraId="7F91E520">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按照世行《技术援助与环境社会框架指南》确定是否需要编制单独的环境社会评价文件包括规划评价或战略评价报告，还是可以仅作为研究报告的一个章节。</w:t>
      </w:r>
    </w:p>
    <w:p w14:paraId="746F9D82">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0BB4AE69">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根据项目管理办公室的要求，每半年提供本分包项目在环境社会风险方面所开展的工作进展，并接受项目管理办公室及其所聘请环境社会专家的监督和指导。</w:t>
      </w:r>
    </w:p>
    <w:p w14:paraId="515EC858">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所有交付成果须包含不少于一（1）页的专项环境与社会影响分析章节，内容须完整涵盖以下要素：</w:t>
      </w:r>
    </w:p>
    <w:p w14:paraId="106B7D3E">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（1）下游影响识别：识别并分析本交付成果所提出的政策建议、技术指南或制度方案在被后续采纳和实施后，可能对区域环境、行业生产、相关社区就业及民生等方面产生的间接影响和长远风险；</w:t>
      </w:r>
    </w:p>
    <w:p w14:paraId="44961194">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（2）弱势群体影响分析：在下游影响识别的基础上，专项评估上述政策或技术变化对弱势群体（包括但不限于低收入群体、受碳市场政策影响的特定行业从业人员及其家属）可能造成的差异性影响；</w:t>
      </w:r>
    </w:p>
    <w:p w14:paraId="04AFB0B2">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（3）缓解措施建议：针对已识别的下游影响和弱势群体风险，提出具体、可操作的缓解和应对措施建议。</w:t>
      </w:r>
    </w:p>
    <w:p w14:paraId="6EC73658">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6EC73659">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八、采购方式</w:t>
      </w:r>
    </w:p>
    <w:p w14:paraId="6EC7365A">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本项目分包工作任务拟采用基于咨询顾问资历的选择（CQS）方式进行采购。</w:t>
      </w:r>
    </w:p>
    <w:p w14:paraId="51C941FC">
      <w:pPr>
        <w:pStyle w:val="2"/>
        <w:rPr>
          <w:rFonts w:ascii="Times New Roman" w:hAnsi="Times New Roman" w:cs="Times New Roman"/>
        </w:rPr>
      </w:pPr>
    </w:p>
    <w:sectPr>
      <w:footerReference r:id="rId6" w:type="firs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4E43E624-C634-8E6A-E38B-686A05DCEA7F}"/>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DBF859C2-F6D3-F1B8-E38B-686AD7208BB2}"/>
  </w:font>
  <w:font w:name="Segoe UI">
    <w:panose1 w:val="020B0502040204020203"/>
    <w:charset w:val="00"/>
    <w:family w:val="swiss"/>
    <w:pitch w:val="default"/>
    <w:sig w:usb0="E4002EFF" w:usb1="C000E47F" w:usb2="00000009" w:usb3="00000000" w:csb0="200001FF" w:csb1="00000000"/>
    <w:embedRegular r:id="rId3" w:fontKey="{360A1454-D965-367B-E38B-686A919E494B}"/>
  </w:font>
  <w:font w:name="仿宋_GB2312">
    <w:altName w:val="方正仿宋_GBK"/>
    <w:panose1 w:val="02010609030101010101"/>
    <w:charset w:val="86"/>
    <w:family w:val="modern"/>
    <w:pitch w:val="default"/>
    <w:sig w:usb0="00000000" w:usb1="00000000" w:usb2="00000000" w:usb3="00000000" w:csb0="00040000" w:csb1="00000000"/>
  </w:font>
  <w:font w:name="Aptos">
    <w:altName w:val="Helvetica Neue"/>
    <w:panose1 w:val="020B0004020202020204"/>
    <w:charset w:val="00"/>
    <w:family w:val="swiss"/>
    <w:pitch w:val="default"/>
    <w:sig w:usb0="00000000" w:usb1="00000000" w:usb2="00000000" w:usb3="00000000" w:csb0="2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7365F">
    <w:pPr>
      <w:pStyle w:val="7"/>
    </w:pPr>
    <w: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70305" cy="345440"/>
              <wp:effectExtent l="0" t="0" r="0" b="0"/>
              <wp:wrapNone/>
              <wp:docPr id="104755083" name="Text Box 3"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3F8F0D2E">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2pt;width:92.1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uJL3bVAAAABAEAAA8AAAAAAAAAAQAgAAAAIgAAAGRycy9kb3du&#10;cmV2LnhtbFBLAQIUABQAAAAIAIdO4kAcHKRLOwIAAHYEAAAOAAAAAAAAAAEAIAAAACQBAABkcnMv&#10;ZTJvRG9jLnhtbFBLBQYAAAAABgAGAFkBAADRBQAAAAA=&#10;">
              <v:fill on="f" focussize="0,0"/>
              <v:stroke on="f"/>
              <v:imagedata o:title=""/>
              <o:lock v:ext="edit" aspectratio="f"/>
              <v:textbox inset="0mm,0mm,20pt,15pt" style="mso-fit-shape-to-text:t;">
                <w:txbxContent>
                  <w:p w14:paraId="3F8F0D2E">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7366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EC7366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3A10">
    <w:pPr>
      <w:pStyle w:val="7"/>
    </w:pPr>
    <w:r>
      <mc:AlternateContent>
        <mc:Choice Requires="wps">
          <w:drawing>
            <wp:anchor distT="0" distB="0" distL="0" distR="0" simplePos="0" relativeHeight="251661312" behindDoc="0" locked="0" layoutInCell="1" allowOverlap="1">
              <wp:simplePos x="0" y="0"/>
              <wp:positionH relativeFrom="page">
                <wp:align>right</wp:align>
              </wp:positionH>
              <wp:positionV relativeFrom="page">
                <wp:align>bottom</wp:align>
              </wp:positionV>
              <wp:extent cx="1170305" cy="345440"/>
              <wp:effectExtent l="0" t="0" r="0" b="0"/>
              <wp:wrapNone/>
              <wp:docPr id="450893286" name="Text Box 2"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22E60979">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7.2pt;width:92.15pt;mso-position-horizontal:righ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4kvdtUAAAAEAQAADwAAAAAAAAABACAAAAAiAAAAZHJzL2Rv&#10;d25yZXYueG1sUEsBAhQAFAAAAAgAh07iQCwfMZg9AgAAdgQAAA4AAAAAAAAAAQAgAAAAJAEAAGRy&#10;cy9lMm9Eb2MueG1sUEsFBgAAAAAGAAYAWQEAANMFAAAAAA==&#10;">
              <v:fill on="f" focussize="0,0"/>
              <v:stroke on="f"/>
              <v:imagedata o:title=""/>
              <o:lock v:ext="edit" aspectratio="f"/>
              <v:textbox inset="0mm,0mm,20pt,15pt" style="mso-fit-shape-to-text:t;">
                <w:txbxContent>
                  <w:p w14:paraId="22E60979">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9ED3C">
    <w:pPr>
      <w:pStyle w:val="7"/>
    </w:pPr>
    <w: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bottom</wp:align>
              </wp:positionV>
              <wp:extent cx="1170305" cy="345440"/>
              <wp:effectExtent l="0" t="0" r="0" b="0"/>
              <wp:wrapNone/>
              <wp:docPr id="856995474" name="Text Box 1"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0939A723">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7.2pt;width:92.15pt;mso-position-horizontal:right;mso-position-horizontal-relative:page;mso-position-vertical:bottom;mso-position-vertical-relative:page;mso-wrap-style:none;z-index:251662336;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4kvdtUAAAAEAQAADwAAAAAAAAABACAAAAAiAAAAZHJzL2Rv&#10;d25yZXYueG1sUEsBAhQAFAAAAAgAh07iQDRp3lU9AgAAdgQAAA4AAAAAAAAAAQAgAAAAJAEAAGRy&#10;cy9lMm9Eb2MueG1sUEsFBgAAAAAGAAYAWQEAANMFAAAAAA==&#10;">
              <v:fill on="f" focussize="0,0"/>
              <v:stroke on="f"/>
              <v:imagedata o:title=""/>
              <o:lock v:ext="edit" aspectratio="f"/>
              <v:textbox inset="0mm,0mm,20pt,15pt" style="mso-fit-shape-to-text:t;">
                <w:txbxContent>
                  <w:p w14:paraId="0939A723">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6EC73662">
      <w:pPr>
        <w:pStyle w:val="9"/>
      </w:pPr>
      <w:r>
        <w:rPr>
          <w:rStyle w:val="17"/>
        </w:rPr>
        <w:footnoteRef/>
      </w:r>
      <w:r>
        <w:t xml:space="preserve"> </w:t>
      </w:r>
      <w:r>
        <w:rPr>
          <w:rFonts w:hint="eastAsia" w:ascii="Times New Roman" w:hAnsi="Times New Roman"/>
        </w:rPr>
        <w:t>PMI-3分包任务旨在研究扩大ETS行业覆盖范围及完善国家ETS配额体系。</w:t>
      </w:r>
    </w:p>
  </w:footnote>
  <w:footnote w:id="1">
    <w:p w14:paraId="6EC73663">
      <w:pPr>
        <w:pStyle w:val="9"/>
      </w:pPr>
      <w:r>
        <w:rPr>
          <w:rStyle w:val="17"/>
        </w:rPr>
        <w:footnoteRef/>
      </w:r>
      <w:r>
        <w:t xml:space="preserve"> </w:t>
      </w:r>
      <w:r>
        <w:rPr>
          <w:rFonts w:ascii="Times New Roman" w:hAnsi="Times New Roman" w:cs="Segoe UI"/>
          <w:color w:val="0F1115"/>
          <w:szCs w:val="18"/>
          <w:shd w:val="clear" w:color="auto" w:fill="FFFFFF"/>
        </w:rPr>
        <w:t>PMI‑4分包</w:t>
      </w:r>
      <w:r>
        <w:rPr>
          <w:rFonts w:hint="eastAsia" w:ascii="Times New Roman" w:hAnsi="Times New Roman" w:cs="Segoe UI"/>
          <w:color w:val="0F1115"/>
          <w:szCs w:val="18"/>
          <w:shd w:val="clear" w:color="auto" w:fill="FFFFFF"/>
        </w:rPr>
        <w:t>任务</w:t>
      </w:r>
      <w:r>
        <w:rPr>
          <w:rFonts w:ascii="Times New Roman" w:hAnsi="Times New Roman"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cs="Segoe UI"/>
          <w:color w:val="0F1115"/>
          <w:szCs w:val="18"/>
          <w:shd w:val="clear" w:color="auto" w:fill="FFFFFF"/>
        </w:rPr>
        <w:t>。</w:t>
      </w:r>
    </w:p>
  </w:footnote>
  <w:footnote w:id="2">
    <w:p w14:paraId="5AEA8BD3">
      <w:pPr>
        <w:pStyle w:val="9"/>
      </w:pPr>
      <w:r>
        <w:rPr>
          <w:rStyle w:val="17"/>
        </w:rPr>
        <w:footnoteRef/>
      </w:r>
      <w:r>
        <w:t xml:space="preserve"> </w:t>
      </w:r>
      <w:r>
        <w:rPr>
          <w:rFonts w:hint="eastAsia"/>
        </w:rPr>
        <w:t>PMI-16分包任务旨在研究国内碳定价工具与国际碳交易机制链接的战略评估及海外减排项目参与我国CCER相关制度框架。</w:t>
      </w:r>
    </w:p>
  </w:footnote>
  <w:footnote w:id="3">
    <w:p w14:paraId="6EC73664">
      <w:pPr>
        <w:pStyle w:val="9"/>
      </w:pPr>
      <w:r>
        <w:rPr>
          <w:rStyle w:val="17"/>
        </w:rPr>
        <w:footnoteRef/>
      </w:r>
      <w:r>
        <w:t xml:space="preserve"> </w:t>
      </w:r>
      <w:r>
        <w:rPr>
          <w:rFonts w:hint="eastAsia" w:ascii="Times New Roman" w:hAnsi="Times New Roman"/>
        </w:rPr>
        <w:t>PMI-17分包任务旨在通过开展检查、开发培训材料、监督咨询/检测/核查技术服务机构、修订方法学或指南等方式加强ETS和CCER的MRV监督与管理。</w:t>
      </w:r>
    </w:p>
  </w:footnote>
  <w:footnote w:id="4">
    <w:p w14:paraId="3604B00E">
      <w:pPr>
        <w:pStyle w:val="9"/>
      </w:pPr>
      <w:r>
        <w:rPr>
          <w:rStyle w:val="17"/>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E7B6"/>
    <w:multiLevelType w:val="singleLevel"/>
    <w:tmpl w:val="BCD2E7B6"/>
    <w:lvl w:ilvl="0" w:tentative="0">
      <w:start w:val="1"/>
      <w:numFmt w:val="chineseCounting"/>
      <w:pStyle w:val="3"/>
      <w:suff w:val="nothing"/>
      <w:lvlText w:val="%1、"/>
      <w:lvlJc w:val="left"/>
      <w:pPr>
        <w:ind w:left="630"/>
      </w:pPr>
      <w:rPr>
        <w:rFonts w:hint="eastAsia" w:ascii="仿宋" w:hAnsi="仿宋" w:eastAsia="仿宋" w:cs="黑体"/>
      </w:rPr>
    </w:lvl>
  </w:abstractNum>
  <w:abstractNum w:abstractNumId="1">
    <w:nsid w:val="BFFE5842"/>
    <w:multiLevelType w:val="singleLevel"/>
    <w:tmpl w:val="BFFE5842"/>
    <w:lvl w:ilvl="0" w:tentative="0">
      <w:start w:val="1"/>
      <w:numFmt w:val="lowerLetter"/>
      <w:lvlText w:val="%1."/>
      <w:lvlJc w:val="left"/>
      <w:pPr>
        <w:tabs>
          <w:tab w:val="left" w:pos="420"/>
        </w:tabs>
        <w:ind w:left="845" w:hanging="425"/>
      </w:pPr>
      <w:rPr>
        <w:rFonts w:hint="default"/>
      </w:rPr>
    </w:lvl>
  </w:abstractNum>
  <w:abstractNum w:abstractNumId="2">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3">
    <w:nsid w:val="FDDB259C"/>
    <w:multiLevelType w:val="singleLevel"/>
    <w:tmpl w:val="FDDB259C"/>
    <w:lvl w:ilvl="0" w:tentative="0">
      <w:start w:val="1"/>
      <w:numFmt w:val="lowerLetter"/>
      <w:lvlText w:val="%1."/>
      <w:lvlJc w:val="left"/>
      <w:pPr>
        <w:tabs>
          <w:tab w:val="left" w:pos="420"/>
        </w:tabs>
        <w:ind w:left="845" w:hanging="425"/>
      </w:pPr>
      <w:rPr>
        <w:rFonts w:hint="default"/>
      </w:rPr>
    </w:lvl>
  </w:abstractNum>
  <w:abstractNum w:abstractNumId="4">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footnotePr>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7F"/>
    <w:rsid w:val="00090B14"/>
    <w:rsid w:val="000B3D3B"/>
    <w:rsid w:val="000E42C4"/>
    <w:rsid w:val="0014306F"/>
    <w:rsid w:val="001E428E"/>
    <w:rsid w:val="00216DC3"/>
    <w:rsid w:val="00356B3B"/>
    <w:rsid w:val="00395090"/>
    <w:rsid w:val="00451EAA"/>
    <w:rsid w:val="00530C76"/>
    <w:rsid w:val="006128F6"/>
    <w:rsid w:val="00633FF7"/>
    <w:rsid w:val="00666A6E"/>
    <w:rsid w:val="006F082B"/>
    <w:rsid w:val="00795799"/>
    <w:rsid w:val="007C2425"/>
    <w:rsid w:val="007D1F9D"/>
    <w:rsid w:val="008D59AF"/>
    <w:rsid w:val="00916F91"/>
    <w:rsid w:val="00947377"/>
    <w:rsid w:val="00960D88"/>
    <w:rsid w:val="009D67EA"/>
    <w:rsid w:val="00BA4070"/>
    <w:rsid w:val="00BD019C"/>
    <w:rsid w:val="00C02F1F"/>
    <w:rsid w:val="00C3367F"/>
    <w:rsid w:val="00CF3E4F"/>
    <w:rsid w:val="00D05311"/>
    <w:rsid w:val="00D22501"/>
    <w:rsid w:val="00D46C89"/>
    <w:rsid w:val="00D670A2"/>
    <w:rsid w:val="00D806D4"/>
    <w:rsid w:val="00E257D8"/>
    <w:rsid w:val="00E742E6"/>
    <w:rsid w:val="00EC7CDF"/>
    <w:rsid w:val="00F160F2"/>
    <w:rsid w:val="00FF67C9"/>
    <w:rsid w:val="04654F51"/>
    <w:rsid w:val="07230758"/>
    <w:rsid w:val="094E3682"/>
    <w:rsid w:val="0B8D2240"/>
    <w:rsid w:val="16D176F4"/>
    <w:rsid w:val="17EB50A5"/>
    <w:rsid w:val="1AEB2ADF"/>
    <w:rsid w:val="1C88406A"/>
    <w:rsid w:val="1D550060"/>
    <w:rsid w:val="239F5928"/>
    <w:rsid w:val="261B1A43"/>
    <w:rsid w:val="266A16A4"/>
    <w:rsid w:val="27CE17BE"/>
    <w:rsid w:val="2D5A717C"/>
    <w:rsid w:val="30142157"/>
    <w:rsid w:val="33574D5E"/>
    <w:rsid w:val="3527393B"/>
    <w:rsid w:val="3751774D"/>
    <w:rsid w:val="38194CD8"/>
    <w:rsid w:val="3A910DA6"/>
    <w:rsid w:val="3CF955DB"/>
    <w:rsid w:val="3DD32530"/>
    <w:rsid w:val="41A0366E"/>
    <w:rsid w:val="45C42947"/>
    <w:rsid w:val="48A85F90"/>
    <w:rsid w:val="4D8F592B"/>
    <w:rsid w:val="4D9B1658"/>
    <w:rsid w:val="4EED47F4"/>
    <w:rsid w:val="521C79A8"/>
    <w:rsid w:val="52C673B2"/>
    <w:rsid w:val="545A11DC"/>
    <w:rsid w:val="5B6BA06D"/>
    <w:rsid w:val="5DDF5128"/>
    <w:rsid w:val="5F9C6AF4"/>
    <w:rsid w:val="633F5AA5"/>
    <w:rsid w:val="640C3650"/>
    <w:rsid w:val="642A3E7C"/>
    <w:rsid w:val="6CE16E6B"/>
    <w:rsid w:val="6ED251E8"/>
    <w:rsid w:val="6FD71BCB"/>
    <w:rsid w:val="76DC0CC3"/>
    <w:rsid w:val="784A7A0A"/>
    <w:rsid w:val="79643252"/>
    <w:rsid w:val="7A7FAD88"/>
    <w:rsid w:val="7B0E336E"/>
    <w:rsid w:val="7FAB1A76"/>
    <w:rsid w:val="EE9651FD"/>
    <w:rsid w:val="FFE7D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numPr>
        <w:ilvl w:val="0"/>
        <w:numId w:val="1"/>
      </w:numPr>
      <w:outlineLvl w:val="0"/>
    </w:pPr>
    <w:rPr>
      <w:rFonts w:ascii="黑体" w:hAnsi="黑体" w:eastAsia="黑体" w:cs="黑体"/>
      <w:sz w:val="32"/>
      <w:szCs w:val="32"/>
    </w:rPr>
  </w:style>
  <w:style w:type="paragraph" w:styleId="4">
    <w:name w:val="heading 2"/>
    <w:basedOn w:val="1"/>
    <w:next w:val="1"/>
    <w:unhideWhenUsed/>
    <w:qFormat/>
    <w:uiPriority w:val="0"/>
    <w:pPr>
      <w:adjustRightInd w:val="0"/>
      <w:snapToGrid w:val="0"/>
      <w:spacing w:line="360" w:lineRule="auto"/>
      <w:ind w:firstLine="640" w:firstLineChars="200"/>
      <w:outlineLvl w:val="1"/>
    </w:pPr>
    <w:rPr>
      <w:rFonts w:ascii="楷体" w:hAnsi="楷体" w:eastAsia="楷体" w:cs="仿宋"/>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caption"/>
    <w:basedOn w:val="1"/>
    <w:next w:val="1"/>
    <w:semiHidden/>
    <w:unhideWhenUsed/>
    <w:qFormat/>
    <w:uiPriority w:val="0"/>
    <w:rPr>
      <w:rFonts w:ascii="Times New Roman" w:hAnsi="Times New Roman" w:eastAsia="黑体"/>
      <w:sz w:val="28"/>
      <w:szCs w:val="28"/>
    </w:rPr>
  </w:style>
  <w:style w:type="paragraph" w:styleId="6">
    <w:name w:val="annotation text"/>
    <w:basedOn w:val="1"/>
    <w:link w:val="2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Normal (Web)"/>
    <w:basedOn w:val="1"/>
    <w:qFormat/>
    <w:uiPriority w:val="0"/>
    <w:rPr>
      <w:sz w:val="24"/>
    </w:rPr>
  </w:style>
  <w:style w:type="paragraph" w:styleId="11">
    <w:name w:val="annotation subject"/>
    <w:basedOn w:val="6"/>
    <w:next w:val="6"/>
    <w:link w:val="22"/>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character" w:styleId="17">
    <w:name w:val="footnote reference"/>
    <w:basedOn w:val="14"/>
    <w:qFormat/>
    <w:uiPriority w:val="0"/>
    <w:rPr>
      <w:vertAlign w:val="superscript"/>
    </w:rPr>
  </w:style>
  <w:style w:type="paragraph" w:customStyle="1" w:styleId="18">
    <w:name w:val="表1"/>
    <w:basedOn w:val="1"/>
    <w:qFormat/>
    <w:uiPriority w:val="0"/>
    <w:pPr>
      <w:wordWrap w:val="0"/>
      <w:jc w:val="center"/>
      <w:outlineLvl w:val="3"/>
    </w:pPr>
    <w:rPr>
      <w:rFonts w:ascii="Times New Roman" w:hAnsi="Times New Roman" w:eastAsia="黑体" w:cs="Times New Roman"/>
      <w:sz w:val="28"/>
      <w:szCs w:val="28"/>
    </w:rPr>
  </w:style>
  <w:style w:type="paragraph" w:customStyle="1" w:styleId="19">
    <w:name w:val="黑体三号"/>
    <w:basedOn w:val="1"/>
    <w:qFormat/>
    <w:uiPriority w:val="0"/>
    <w:pPr>
      <w:wordWrap w:val="0"/>
      <w:ind w:firstLine="640" w:firstLineChars="200"/>
      <w:outlineLvl w:val="0"/>
    </w:pPr>
    <w:rPr>
      <w:rFonts w:ascii="Times New Roman" w:hAnsi="Times New Roman" w:eastAsia="黑体" w:cs="Times New Roman"/>
      <w:sz w:val="32"/>
      <w:szCs w:val="32"/>
    </w:rPr>
  </w:style>
  <w:style w:type="paragraph" w:customStyle="1" w:styleId="2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1">
    <w:name w:val="Comment Text Char"/>
    <w:basedOn w:val="14"/>
    <w:link w:val="6"/>
    <w:qFormat/>
    <w:uiPriority w:val="0"/>
    <w:rPr>
      <w:rFonts w:asciiTheme="minorHAnsi" w:hAnsiTheme="minorHAnsi" w:eastAsiaTheme="minorEastAsia" w:cstheme="minorBidi"/>
      <w:kern w:val="2"/>
      <w:sz w:val="21"/>
      <w:szCs w:val="24"/>
    </w:rPr>
  </w:style>
  <w:style w:type="character" w:customStyle="1" w:styleId="22">
    <w:name w:val="Comment Subject Char"/>
    <w:basedOn w:val="21"/>
    <w:link w:val="11"/>
    <w:qFormat/>
    <w:uiPriority w:val="0"/>
    <w:rPr>
      <w:rFonts w:asciiTheme="minorHAnsi" w:hAnsiTheme="minorHAnsi" w:eastAsiaTheme="minorEastAsia" w:cstheme="minorBidi"/>
      <w:b/>
      <w:bCs/>
      <w:kern w:val="2"/>
      <w:sz w:val="21"/>
      <w:szCs w:val="24"/>
    </w:rPr>
  </w:style>
  <w:style w:type="paragraph" w:customStyle="1" w:styleId="23">
    <w:name w:val="Revision1"/>
    <w:hidden/>
    <w:unhideWhenUsed/>
    <w:qFormat/>
    <w:uiPriority w:val="99"/>
    <w:rPr>
      <w:rFonts w:asciiTheme="minorHAnsi" w:hAnsiTheme="minorHAnsi" w:eastAsiaTheme="minorEastAsia" w:cstheme="minorBidi"/>
      <w:kern w:val="2"/>
      <w:sz w:val="21"/>
      <w:szCs w:val="24"/>
      <w:lang w:val="en-US" w:eastAsia="zh-CN" w:bidi="ar-SA"/>
    </w:rPr>
  </w:style>
  <w:style w:type="paragraph" w:styleId="24">
    <w:name w:val="List Paragraph"/>
    <w:basedOn w:val="1"/>
    <w:qFormat/>
    <w:uiPriority w:val="34"/>
    <w:pPr>
      <w:ind w:left="720"/>
      <w:contextualSpacing/>
    </w:pPr>
  </w:style>
  <w:style w:type="paragraph" w:customStyle="1" w:styleId="2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3.xml><?xml version="1.0" encoding="utf-8"?>
<?mso-contentType ?>
<spe:Receivers xmlns:spe="http://schemas.microsoft.com/sharepoint/events"/>
</file>

<file path=customXml/item4.xml><?xml version="1.0" encoding="utf-8"?>
<?mso-contentType ?>
<SharedContentType xmlns="Microsoft.SharePoint.Taxonomy.ContentTypeSync" PreviousValue="false" ContentTypeId="0x010100F4C63C3BD852AE468EAEFD0E6C57C64F02" SourceId="2a6c10d7-b926-4fc0-945e-3cbf5049f6bd"/>
</file>

<file path=customXml/item5.xml><?xml version="1.0" encoding="utf-8"?>
<ct:contentTypeSchema xmlns:ct="http://schemas.microsoft.com/office/2006/metadata/contentType" contentTypeID="0x010100F4C63C3BD852AE468EAEFD0E6C57C64F02008C015598D0747D4283BB1F9D49ADADC6" contentTypeVersion="21" contentTypeDescription="" contentTypeScope="" contentTypeName="WBDocument" versionID="793720ccac36104286da29796a69d008" _="">
  <xsd:schema xmlns:xsd="http://www.w3.org/2001/XMLSchema" xmlns:ma="http://schemas.microsoft.com/office/2006/metadata/properties/metaAttributes" root="true" targetNamespace="http://schemas.microsoft.com/office/2006/metadata/properties" ma: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nillable="true" format="DateTime" ma:internalName="WBDocs_Document_Date" ma:index="3" ma:displayName="Document Date" ma:readOnly="false" name="WBDocs_Document_Date" ma:default="[today]">
      <xsd:simpleType xmlns:xsd="http://www.w3.org/2001/XMLSchema">
        <xsd:restriction xmlns:xsd="http://www.w3.org/2001/XMLSchema" base="dms:DateTime"/>
      </xsd:simpleType>
    </xsd:element>
    <xsd:element xmlns:xsd="http://www.w3.org/2001/XMLSchema" xmlns:ma="http://schemas.microsoft.com/office/2006/metadata/properties/metaAttributes" format="Dropdown" ma:internalName="WBDocs_Information_Classification" ma:index="4" ma:displayName="Information Classification" ma:readOnly="false" name="WBDocs_Information_Classification" ma:default="Official Use Only">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nillable="true" ma:internalName="TaxCatchAll" ma:showField="CatchAllData" ma:index="6" ma:displayName="Taxonomy Catch All Column" ma:hidden="true" ma:list="{16aa8994-a05b-49f1-92e2-ade3831271c5}" name="TaxCatchAl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nillable="true" maxOccurs="unbounded" minOccurs="0" type="dms:Lookup" name="Value"/>
            </xsd:sequence>
          </xsd:extension>
        </xsd:complexContent>
      </xsd:complexType>
    </xsd:element>
    <xsd:element xmlns:xsd="http://www.w3.org/2001/XMLSchema" xmlns:ma="http://schemas.microsoft.com/office/2006/metadata/properties/metaAttributes" nillable="true" ma:internalName="TaxCatchAllLabel" ma:showField="CatchAllDataLabel" ma:index="7" ma:displayName="Taxonomy Catch All Column1" ma:readOnly="true" ma:hidden="true" ma:list="{16aa8994-a05b-49f1-92e2-ade3831271c5}" name="TaxCatchAllLabe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nillable="true" maxOccurs="unbounded" minOccurs="0" type="dms:Lookup" name="Value"/>
            </xsd:sequence>
          </xsd:extension>
        </xsd:complexContent>
      </xsd:complexType>
    </xsd:element>
    <xsd:element xmlns:xsd="http://www.w3.org/2001/XMLSchema" xmlns:ma="http://schemas.microsoft.com/office/2006/metadata/properties/metaAttributes" nillable="true" ma:internalName="_dlc_DocId" displayName="Document ID Value" ma:index="10" ma:description="The value of the document ID assigned to this item." ma:readOnly="true" name="_dlc_DocId">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_dlc_DocIdUrl" ma:index="11" ma:displayName="Document ID" hidden="true" ma:description="Permanent link to this document." ma:readOnly="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xmlns:ma="http://schemas.microsoft.com/office/2006/metadata/properties/metaAttributes" nillable="true" ma:internalName="_dlc_DocIdPersistId" ma:index="12" ma:displayName="Persist ID" hidden="true" ma:description="Keep ID on add." ma:readOnly="true" name="_dlc_DocIdPersistId">
      <xsd:simpleType xmlns:xsd="http://www.w3.org/2001/XMLSchema">
        <xsd:restriction xmlns:xsd="http://www.w3.org/2001/XMLSchema" base="dms:Boolean"/>
      </xsd:simpleType>
    </xsd:element>
    <xsd:element xmlns:xsd="http://www.w3.org/2001/XMLSchema" xmlns:ma="http://schemas.microsoft.com/office/2006/metadata/properties/metaAttributes" nillable="true" format="Dropdown" ma:internalName="WBDocs_Access_To_Info_Exception" ma:index="13" ma:displayName="Access to Info Exception" name="WBDocs_Access_To_Info_Exception" ma:default="12. Not Assessed">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name="o1cb080a3dca4eb8a0fd03c7cc8bf8f7" ma:index="15" ma:readOnly="false" ma:open="false" ma:displayName="Local Document Type" ma:anchorId="00000000-0000-0000-0000-000000000000" ma:termSetId="ec380048-e675-43f7-9194-41567bcb0af6" fieldId="{81cb080a-3dca-4eb8-a0fd-03c7cc8bf8f7}" nillable="true" ma:default="" ma:taxonomyFieldName="WBDocs_Local_Document_Type" ma:taxonomy="true" ma:internalName="o1cb080a3dca4eb8a0fd03c7cc8bf8f7" ma:sspId="2a6c10d7-b926-4fc0-945e-3cbf5049f6bd" ma:taxonomyMulti="true" ma:isKeyword="false">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name="i008215bacac45029ee8cafff4c8e93b" ma:index="17" ma:readOnly="false" ma:open="false" ma:displayName="Originating unit" ma:anchorId="00000000-0000-0000-0000-000000000000" ma:termSetId="806c0147-d557-463e-8bb0-983f4f318bd5" fieldId="{2008215b-acac-4502-9ee8-cafff4c8e93b}" nillable="true" ma:default="5;#EACCF - WB Off: Beijing|2435c311-dfa9-4ae1-8e70-c51f57abf81a" ma:taxonomyFieldName="WBDocs_Originating_Unit" ma:taxonomy="true" ma:internalName="i008215bacac45029ee8cafff4c8e93b" ma:sspId="2a6c10d7-b926-4fc0-945e-3cbf5049f6bd" ma:taxonomyMulti="true" ma:isKeyword="fals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internalName="OneCMS_Subcategory" ma:index="21" ma:displayName="Subcategory" hidden="true" ma:readOnly="false" name="OneCMS_Subcategory">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OneCMS_Category" ma:index="22" ma:displayName="Category" hidden="true" ma:readOnly="false" name="OneCMS_Category">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Abstract" ma:index="23" ma:displayName="Abstract" hidden="true" ma:readOnly="fals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xmlns:ma="http://schemas.microsoft.com/office/2006/metadata/properties/metaAttributes" maxOccurs="1" minOccurs="0" displayName="Author" ma:index="2" ref="dc:creator"/>
        <xsd:element xmlns:xsd="http://www.w3.org/2001/XMLSchema" maxOccurs="1" minOccurs="0" ref="dcterms:created"/>
        <xsd:element xmlns:xsd="http://www.w3.org/2001/XMLSchema" maxOccurs="1" minOccurs="0" ref="dc:identifier"/>
        <xsd:element xmlns:xsd="http://www.w3.org/2001/XMLSchema" xmlns:ma="http://schemas.microsoft.com/office/2006/metadata/properties/metaAttributes" maxOccurs="1" minOccurs="0" displayName="Content Type" ma:index="19" type="xsd:string" name="contentType"/>
        <xsd:element xmlns:xsd="http://www.w3.org/2001/XMLSchema" xmlns:ma="http://schemas.microsoft.com/office/2006/metadata/properties/metaAttributes" maxOccurs="1" minOccurs="0" displayName="Title" ma:index="1"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6.xml><?xml version="1.0" encoding="utf-8"?>
<p:properties xmlns:p="http://schemas.microsoft.com/office/2006/metadata/properties" xmlns:pc="http://schemas.microsoft.com/office/infopath/2007/PartnerControls" xmlns:xsi="http://www.w3.org/2001/XMLSchema-instance">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2026-05-06T04:09:55+00:00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ADA64-A6E2-4B72-AB09-535C1BE4ABF7}">
  <ds:schemaRefs/>
</ds:datastoreItem>
</file>

<file path=customXml/itemProps3.xml><?xml version="1.0" encoding="utf-8"?>
<ds:datastoreItem xmlns:ds="http://schemas.openxmlformats.org/officeDocument/2006/customXml" ds:itemID="{3CB5BB6A-FB7E-4D0B-8A8B-24F32C6C426B}">
  <ds:schemaRefs/>
</ds:datastoreItem>
</file>

<file path=customXml/itemProps4.xml><?xml version="1.0" encoding="utf-8"?>
<ds:datastoreItem xmlns:ds="http://schemas.openxmlformats.org/officeDocument/2006/customXml" ds:itemID="{19C3859F-031B-47D4-B4E9-A792D15EF007}">
  <ds:schemaRefs/>
</ds:datastoreItem>
</file>

<file path=customXml/itemProps5.xml><?xml version="1.0" encoding="utf-8"?>
<ds:datastoreItem xmlns:ds="http://schemas.openxmlformats.org/officeDocument/2006/customXml" ds:itemID="{1AE0CD5F-D37E-4C01-AE67-7931ED1AF983}">
  <ds:schemaRefs/>
</ds:datastoreItem>
</file>

<file path=customXml/itemProps6.xml><?xml version="1.0" encoding="utf-8"?>
<ds:datastoreItem xmlns:ds="http://schemas.openxmlformats.org/officeDocument/2006/customXml" ds:itemID="{C9895238-143D-4C3D-90C7-A1D7A54D64F9}">
  <ds:schemaRefs/>
</ds:datastoreItem>
</file>

<file path=docProps/app.xml><?xml version="1.0" encoding="utf-8"?>
<Properties xmlns="http://schemas.openxmlformats.org/officeDocument/2006/extended-properties" xmlns:vt="http://schemas.openxmlformats.org/officeDocument/2006/docPropsVTypes">
  <Template>Normal.dotm</Template>
  <Company>WBG</Company>
  <Pages>16</Pages>
  <Words>2244</Words>
  <Characters>2346</Characters>
  <Lines>399</Lines>
  <Paragraphs>332</Paragraphs>
  <TotalTime>1</TotalTime>
  <ScaleCrop>false</ScaleCrop>
  <LinksUpToDate>false</LinksUpToDate>
  <CharactersWithSpaces>2348</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2026-03-17T03:38:00Z</dcterms:created>
  <dc:creator>river</dc:creator>
  <cp:lastModifiedBy>张万军</cp:lastModifiedBy>
  <dcterms:modified xsi:type="dcterms:W3CDTF">2026-07-28T19:00:51Z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28F08E1B2C0348D897B2046F4DFE63D5_12</vt:lpwstr>
  </property>
  <property fmtid="{D5CDD505-2E9C-101B-9397-08002B2CF9AE}" pid="4" name="KSOTemplateDocerSaveRecord">
    <vt:lpwstr>eyJoZGlkIjoiMjIyMWMzOGE3YjUzODgxZmVkMTc5NzMzZDFlZDMyOGYiLCJ1c2VySWQiOiIyMzAzMjg4NTkifQ==</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3314b692,1ae015e6,63e6f8b</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2026-05-09T13:30:04Z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f80058c5-aee3-4250-9b4c-bb88aa73c40d</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y fmtid="{D5CDD505-2E9C-101B-9397-08002B2CF9AE}" pid="21" name="docLangLocale">
    <vt:lpwstr>zh-hans</vt:lpwstr>
  </property>
  <property fmtid="{D5CDD505-2E9C-101B-9397-08002B2CF9AE}" pid="22" name="docLang">
    <vt:lpwstr>zh</vt:lpwstr>
  </property>
</Properties>
</file>