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7C1D2">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世界银行中国市场伙伴实施基金赠款项目（P504267）</w:t>
      </w:r>
    </w:p>
    <w:p w14:paraId="5837C1D3">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“加强国家ETS配额管理及MRV体系优化行业活动</w:t>
      </w:r>
    </w:p>
    <w:p w14:paraId="5837C1D4">
      <w:pPr>
        <w:widowControl/>
        <w:jc w:val="center"/>
        <w:outlineLvl w:val="0"/>
        <w:rPr>
          <w:rFonts w:ascii="Times New Roman" w:hAnsi="Times New Roman" w:eastAsia="方正小标宋简体" w:cs="Times New Roman"/>
          <w:bCs/>
          <w:sz w:val="30"/>
          <w:szCs w:val="30"/>
        </w:rPr>
      </w:pPr>
      <w:r>
        <w:rPr>
          <w:rFonts w:ascii="Times New Roman" w:hAnsi="Times New Roman" w:eastAsia="方正小标宋简体" w:cs="Times New Roman"/>
          <w:bCs/>
          <w:sz w:val="30"/>
          <w:szCs w:val="30"/>
        </w:rPr>
        <w:t>-</w:t>
      </w:r>
      <w:r>
        <w:rPr>
          <w:rFonts w:hint="eastAsia" w:ascii="Times New Roman" w:hAnsi="Times New Roman" w:eastAsia="方正小标宋简体" w:cs="Times New Roman"/>
          <w:bCs/>
          <w:sz w:val="30"/>
          <w:szCs w:val="30"/>
        </w:rPr>
        <w:t>纸浆和造纸行业”咨询服务</w:t>
      </w:r>
    </w:p>
    <w:p w14:paraId="5837C1D5">
      <w:pPr>
        <w:widowControl/>
        <w:jc w:val="center"/>
        <w:outlineLvl w:val="0"/>
        <w:rPr>
          <w:rFonts w:ascii="Times New Roman" w:hAnsi="Times New Roman" w:eastAsia="方正小标宋简体" w:cs="Times New Roman"/>
          <w:bCs/>
          <w:sz w:val="30"/>
          <w:szCs w:val="30"/>
        </w:rPr>
      </w:pPr>
      <w:r>
        <w:rPr>
          <w:rFonts w:hint="eastAsia" w:ascii="Times New Roman" w:hAnsi="Times New Roman" w:eastAsia="方正小标宋简体" w:cs="Times New Roman"/>
          <w:bCs/>
          <w:sz w:val="30"/>
          <w:szCs w:val="30"/>
        </w:rPr>
        <w:t>工作任务大纲（PMI-</w:t>
      </w:r>
      <w:r>
        <w:rPr>
          <w:rFonts w:ascii="Times New Roman" w:hAnsi="Times New Roman" w:eastAsia="方正小标宋简体" w:cs="Times New Roman"/>
          <w:bCs/>
          <w:sz w:val="30"/>
          <w:szCs w:val="30"/>
        </w:rPr>
        <w:t>11</w:t>
      </w:r>
      <w:r>
        <w:rPr>
          <w:rFonts w:hint="eastAsia" w:ascii="Times New Roman" w:hAnsi="Times New Roman" w:eastAsia="方正小标宋简体" w:cs="Times New Roman"/>
          <w:bCs/>
          <w:sz w:val="30"/>
          <w:szCs w:val="30"/>
        </w:rPr>
        <w:t>-CQS）</w:t>
      </w:r>
    </w:p>
    <w:p w14:paraId="5837C1D6">
      <w:pPr>
        <w:rPr>
          <w:rFonts w:ascii="Times New Roman" w:hAnsi="Times New Roman" w:eastAsia="仿宋" w:cs="Times New Roman"/>
          <w:sz w:val="28"/>
          <w:szCs w:val="28"/>
        </w:rPr>
      </w:pPr>
    </w:p>
    <w:p w14:paraId="5837C1D7">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一、项目背景及意义</w:t>
      </w:r>
    </w:p>
    <w:p w14:paraId="5837C1D8">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为推动中国碳排放权交易市场与温室气体自愿减排交易市场的高质量发展及不断完善，世界银行与生态环境部合作开展“中国市场伙伴实施基金项目”活动。该项目旨在支持中国国家层面碳定价工具的优化设计、实施与管理能力提升，项目将优化完善全国碳排放权交</w:t>
      </w:r>
      <w:r>
        <w:rPr>
          <w:rFonts w:hint="eastAsia" w:ascii="Times New Roman" w:hAnsi="Times New Roman" w:eastAsia="仿宋" w:cs="Times New Roman"/>
          <w:sz w:val="28"/>
          <w:szCs w:val="28"/>
        </w:rPr>
        <w:t>易市场（ETS）与国家核证自愿减排量（CCER）体系，</w:t>
      </w:r>
      <w:r>
        <w:rPr>
          <w:rFonts w:ascii="Times New Roman" w:hAnsi="Times New Roman" w:eastAsia="仿宋" w:cs="Times New Roman"/>
          <w:sz w:val="28"/>
          <w:szCs w:val="28"/>
        </w:rPr>
        <w:t>开展国内碳市场与《巴黎协定》第六条下国际碳交易实现衔接兼容的研究，分析引入碳税以补充ETS的可行性等。生态环境部对外合作与交流中心</w:t>
      </w:r>
      <w:r>
        <w:rPr>
          <w:rFonts w:hint="eastAsia" w:ascii="Times New Roman" w:hAnsi="Times New Roman" w:eastAsia="仿宋" w:cs="Times New Roman"/>
          <w:sz w:val="28"/>
          <w:szCs w:val="28"/>
        </w:rPr>
        <w:t>（FECO）受委托作为项目管理办公室（PMO）</w:t>
      </w:r>
      <w:r>
        <w:rPr>
          <w:rFonts w:ascii="Times New Roman" w:hAnsi="Times New Roman" w:eastAsia="仿宋" w:cs="Times New Roman"/>
          <w:sz w:val="28"/>
          <w:szCs w:val="28"/>
        </w:rPr>
        <w:t>，负责统筹项目实施工作。</w:t>
      </w:r>
    </w:p>
    <w:p w14:paraId="5837C1D9">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中国的碳市场由全国碳排放权交易市场和全国温室气体自愿减排交易市场共同组成。</w:t>
      </w:r>
      <w:r>
        <w:rPr>
          <w:rFonts w:ascii="Times New Roman" w:hAnsi="Times New Roman" w:eastAsia="仿宋" w:cs="Times New Roman"/>
          <w:sz w:val="28"/>
          <w:szCs w:val="28"/>
        </w:rPr>
        <w:t>作为全球覆盖排放量最大的碳市场，全国碳排放权交易市场自2021年7月以发电行业为突破口启动上线交易，经过数个履约周期的建设，总体运行平稳，制度规范日趋完善，碳排放数据质量持续改善，价格发现机制作用日益显现，2025年经国务院批准，钢铁、水泥、铝冶炼行业正式纳入全国碳排放权交易市场管理。全国温室气体自愿减排交易市场于2024年1月启动，制度体系、方法学、支撑系统及监管体系正逐步完善。</w:t>
      </w:r>
    </w:p>
    <w:p w14:paraId="5837C1DA">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2024年，国务院发布《碳排放权交易管理暂行条例》（国务院令第775号），为全国碳市场运行确立了统一的法律与制度框架。2025年8月，中共中央办公厅、国务院办公厅发布《关于推进绿色低碳转型加强全国碳市场建设的意见》（以下简称《意见》），提出到2027年对碳排放总量相对稳定的行业优先实施配额总量控制，稳妥推行免费和有偿相结合的碳排放配额分配方式，有序提高有偿分配比例；到2030年，基本建成以配额总量控制为基础、免费和有偿分配相结合的全国碳排放权交易市场。2026年，《中华人民共和国国民经济和社会发展第十五个五年规划纲要》（以下简称《纲要》）颁布实施，明确提出全面实施碳排放总量和强度双控制度，坚持政策引导和市场激励相结合，稳步实施地方碳考核、行业碳管控、企业碳管理、项目碳评价、产品碳足迹等政策制度。按照上述部署，生态环境部已启动化工、石化、造纸、民航等行业扩围前期准备工作，对相关行业企业碳排放报告进行收集整理和核查，并加快编制配额分配方案、核算报告指南、核查技术指南等配套技术文件。</w:t>
      </w:r>
    </w:p>
    <w:p w14:paraId="5837C1DB">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纸浆和造纸行业是我国国民经济的重要组成部分，也是能源消耗和碳排放的重点行业之一。该行业具有能源消耗强度大、生物质燃料占比高、存在废水处理甲烷排放等独特的碳排放特征，其生产工艺流程复杂，涉及化学制浆、机械制浆、造纸及纸制品加工等多个环节，不同环节的排放源、核算边界和监测方法存在显著差异。</w:t>
      </w:r>
    </w:p>
    <w:p w14:paraId="1CEF9C7A">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当前，纸浆和造纸行业正处于碳市场扩围的关键准备期。在配额管理方面，行业尚未建立正式的配额分配机制，需结合国际经验和国内已纳入行业（如发电、钢铁、铝冶炼、水泥）的配额分配实践，研究提出适合纸浆和造纸行业工艺特点及产品多样性的配额分配方案，并前瞻性地考虑《意见》明确的配额总量控制、有偿分配等制度转型方向。在监测、报告与核查（MRV）体系方面，现行核算与报告指南虽已在地方试点或企业实践中有所应用，但仍存在生物质燃料与化石燃料的监测区分不清、废水处理甲烷排放核算方法缺失、不同原料和产品路线的核算边界模糊等突出问题，需结合国际经验和企业实际进行系统优化和完善。</w:t>
      </w:r>
    </w:p>
    <w:p w14:paraId="5837C1DC">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为贯彻落实国家关于逐步扩大全国碳排放权交易市场覆盖范围的决策部署，保障纸浆和造纸行业未来平稳有序纳入全国碳排放权交易市场，需提前开展系统性研究。通过分析该行业的碳排放特征，评估现有核算与报告指南的适用性，</w:t>
      </w:r>
      <w:r>
        <w:rPr>
          <w:rFonts w:hint="eastAsia" w:ascii="Times New Roman" w:hAnsi="Times New Roman" w:eastAsia="仿宋" w:cs="Times New Roman"/>
          <w:sz w:val="28"/>
          <w:szCs w:val="28"/>
        </w:rPr>
        <w:t>研究提出</w:t>
      </w:r>
      <w:r>
        <w:rPr>
          <w:rFonts w:ascii="Times New Roman" w:hAnsi="Times New Roman" w:eastAsia="仿宋" w:cs="Times New Roman"/>
          <w:sz w:val="28"/>
          <w:szCs w:val="28"/>
        </w:rPr>
        <w:t>符合行业实际的配额分配方案</w:t>
      </w:r>
      <w:r>
        <w:rPr>
          <w:rFonts w:hint="eastAsia" w:ascii="Times New Roman" w:hAnsi="Times New Roman" w:eastAsia="仿宋" w:cs="Times New Roman"/>
          <w:sz w:val="28"/>
          <w:szCs w:val="28"/>
        </w:rPr>
        <w:t>建议</w:t>
      </w:r>
      <w:r>
        <w:rPr>
          <w:rFonts w:ascii="Times New Roman" w:hAnsi="Times New Roman" w:eastAsia="仿宋" w:cs="Times New Roman"/>
          <w:sz w:val="28"/>
          <w:szCs w:val="28"/>
        </w:rPr>
        <w:t>，</w:t>
      </w:r>
      <w:r>
        <w:rPr>
          <w:rFonts w:hint="eastAsia" w:ascii="Times New Roman" w:hAnsi="Times New Roman" w:eastAsia="仿宋" w:cs="Times New Roman"/>
          <w:sz w:val="28"/>
          <w:szCs w:val="28"/>
        </w:rPr>
        <w:t>探索</w:t>
      </w:r>
      <w:r>
        <w:rPr>
          <w:rFonts w:ascii="Times New Roman" w:hAnsi="Times New Roman" w:eastAsia="仿宋" w:cs="Times New Roman"/>
          <w:sz w:val="28"/>
          <w:szCs w:val="28"/>
        </w:rPr>
        <w:t>构建与全国碳市场相衔接的MRV体系，</w:t>
      </w:r>
      <w:r>
        <w:rPr>
          <w:rFonts w:hint="eastAsia" w:ascii="Times New Roman" w:hAnsi="Times New Roman" w:eastAsia="仿宋" w:cs="Times New Roman"/>
          <w:sz w:val="28"/>
          <w:szCs w:val="28"/>
        </w:rPr>
        <w:t>并为适应配额总量控制及有偿分配等中长期制度转型提供技术储备</w:t>
      </w:r>
      <w:r>
        <w:rPr>
          <w:rFonts w:ascii="Times New Roman" w:hAnsi="Times New Roman" w:eastAsia="仿宋" w:cs="Times New Roman"/>
          <w:sz w:val="28"/>
          <w:szCs w:val="28"/>
        </w:rPr>
        <w:t>，推动碳市场扩围工作顺利实施。</w:t>
      </w:r>
    </w:p>
    <w:p w14:paraId="5837C1DD">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二、咨询服务目标</w:t>
      </w:r>
    </w:p>
    <w:p w14:paraId="5837C1DE">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分包任务旨在聚焦纸浆和造纸行业的碳排放管理特点，从行业技术层面为全国碳排放权交易市场的扩围工作提供支撑。通过系统梳理纸浆和造纸行业的工艺流程、碳排放源及数据管理现状，结合国际经验和国内已纳入行业的工作实践，识别现行核算与报告体系在预期配额管理、技术规范、执行流程等方面与行业实际存在的差距，从行业角度提出兼具科学性、公平性与可操作性的配额管理制度建议及MRV体系优化措施。同时，前瞻性考虑配额总量控制及有偿分配等制度转型方向，为纸浆和造纸行业平稳有序纳入全国碳排放权交易市场并适应中长期制度发展提供技术储备和政策参考</w:t>
      </w:r>
      <w:r>
        <w:rPr>
          <w:rFonts w:ascii="Times New Roman" w:hAnsi="Times New Roman" w:eastAsia="仿宋" w:cs="Times New Roman"/>
          <w:sz w:val="28"/>
          <w:szCs w:val="28"/>
        </w:rPr>
        <w:t>。</w:t>
      </w:r>
    </w:p>
    <w:p w14:paraId="5837C1DF">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三、工作内容及要求</w:t>
      </w:r>
    </w:p>
    <w:p w14:paraId="5837C1E0">
      <w:pPr>
        <w:pStyle w:val="4"/>
        <w:spacing w:before="156" w:beforeLines="50" w:after="156" w:afterLines="50" w:line="240" w:lineRule="auto"/>
        <w:ind w:firstLine="560"/>
        <w:rPr>
          <w:rFonts w:ascii="Times New Roman" w:hAnsi="Times New Roman" w:eastAsia="仿宋" w:cs="Times New Roman"/>
          <w:sz w:val="28"/>
          <w:szCs w:val="28"/>
        </w:rPr>
      </w:pPr>
      <w:r>
        <w:rPr>
          <w:rFonts w:ascii="Times New Roman" w:hAnsi="Times New Roman" w:eastAsia="仿宋" w:cs="Times New Roman"/>
          <w:sz w:val="28"/>
          <w:szCs w:val="28"/>
        </w:rPr>
        <w:t>3.1 总体工作范围</w:t>
      </w:r>
    </w:p>
    <w:p w14:paraId="5837C1E1">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分包任务从行业技术层面，围绕纸浆和造纸行业纳入全国碳排放权交易市场的关键问题开展研究：分析梳理行业发展现状、碳排放特征及数据管理基础，深入了解企业在未来纳入碳市场过程中可能面临的技术困难与政策诉求，综合考虑主管部门在政策执行中的意见与建议，结合国际碳市场及国内已纳入行业的经验，形成行业需求分析报告；在此基础上，研究提出符合纸浆和造纸行业工艺特点及产品多样性的配额分配方案，并前瞻性考虑配额总量控制、有偿分配等制度转型方向，为未来配额管理提供技术储备；同时，评估现行核算与报告指南的可操作性及其与全国碳排放权交易市场要求的匹配度，结合行业发展动态，提出MRV体系优化改进建议。</w:t>
      </w:r>
    </w:p>
    <w:p w14:paraId="5837C1E2">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在PMO总体协调下，本分包任务需与PMI-3</w:t>
      </w:r>
      <w:r>
        <w:rPr>
          <w:rStyle w:val="17"/>
          <w:rFonts w:ascii="Times New Roman" w:hAnsi="Times New Roman" w:eastAsia="仿宋" w:cs="Times New Roman"/>
          <w:sz w:val="28"/>
          <w:szCs w:val="28"/>
        </w:rPr>
        <w:footnoteReference w:id="0"/>
      </w:r>
      <w:r>
        <w:rPr>
          <w:rFonts w:ascii="Times New Roman" w:hAnsi="Times New Roman" w:eastAsia="仿宋" w:cs="Times New Roman"/>
          <w:sz w:val="28"/>
          <w:szCs w:val="28"/>
        </w:rPr>
        <w:t>，PMI-4</w:t>
      </w:r>
      <w:r>
        <w:rPr>
          <w:rStyle w:val="17"/>
          <w:rFonts w:ascii="Times New Roman" w:hAnsi="Times New Roman" w:eastAsia="仿宋" w:cs="Times New Roman"/>
          <w:sz w:val="28"/>
          <w:szCs w:val="28"/>
        </w:rPr>
        <w:footnoteReference w:id="1"/>
      </w:r>
      <w:r>
        <w:rPr>
          <w:rFonts w:hint="eastAsia" w:ascii="Times New Roman" w:hAnsi="Times New Roman" w:eastAsia="仿宋" w:cs="Times New Roman"/>
          <w:sz w:val="28"/>
          <w:szCs w:val="28"/>
        </w:rPr>
        <w:t>，</w:t>
      </w:r>
      <w:r>
        <w:rPr>
          <w:rFonts w:ascii="Times New Roman" w:hAnsi="Times New Roman" w:eastAsia="仿宋" w:cs="Times New Roman"/>
          <w:sz w:val="28"/>
          <w:szCs w:val="28"/>
        </w:rPr>
        <w:t>PMI-1</w:t>
      </w:r>
      <w:r>
        <w:rPr>
          <w:rFonts w:hint="eastAsia" w:ascii="Times New Roman" w:hAnsi="Times New Roman" w:eastAsia="仿宋" w:cs="Times New Roman"/>
          <w:sz w:val="28"/>
          <w:szCs w:val="28"/>
        </w:rPr>
        <w:t>7</w:t>
      </w:r>
      <w:r>
        <w:rPr>
          <w:rStyle w:val="17"/>
          <w:rFonts w:ascii="Times New Roman" w:hAnsi="Times New Roman" w:eastAsia="仿宋" w:cs="Times New Roman"/>
          <w:sz w:val="28"/>
          <w:szCs w:val="28"/>
        </w:rPr>
        <w:footnoteReference w:id="2"/>
      </w:r>
      <w:r>
        <w:rPr>
          <w:rFonts w:ascii="Times New Roman" w:hAnsi="Times New Roman" w:eastAsia="仿宋" w:cs="Times New Roman"/>
          <w:sz w:val="28"/>
          <w:szCs w:val="28"/>
        </w:rPr>
        <w:t>等其他分包任务承担单位保持技术协作与信息共享，确保研究的系统性与一致性。</w:t>
      </w:r>
    </w:p>
    <w:p w14:paraId="5837C1E3">
      <w:pPr>
        <w:pStyle w:val="4"/>
        <w:spacing w:before="156" w:beforeLines="50" w:after="156" w:afterLines="50" w:line="240" w:lineRule="auto"/>
        <w:ind w:firstLine="560"/>
        <w:rPr>
          <w:rFonts w:ascii="Times New Roman" w:hAnsi="Times New Roman" w:eastAsia="仿宋" w:cs="Times New Roman"/>
          <w:sz w:val="28"/>
          <w:szCs w:val="28"/>
        </w:rPr>
      </w:pPr>
      <w:r>
        <w:rPr>
          <w:rFonts w:ascii="Times New Roman" w:hAnsi="Times New Roman" w:eastAsia="仿宋" w:cs="Times New Roman"/>
          <w:sz w:val="28"/>
          <w:szCs w:val="28"/>
        </w:rPr>
        <w:t>3.2 任务要求描述</w:t>
      </w:r>
    </w:p>
    <w:p w14:paraId="5837C1E4">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3.2.1 纸浆和造纸行业动态与诉求调研</w:t>
      </w:r>
    </w:p>
    <w:p w14:paraId="2F622774">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本项任务旨在通过文献研究、调研访谈等方式，系统了解</w:t>
      </w:r>
      <w:r>
        <w:rPr>
          <w:rFonts w:ascii="Times New Roman" w:hAnsi="Times New Roman" w:eastAsia="仿宋" w:cs="Times New Roman"/>
          <w:sz w:val="28"/>
          <w:szCs w:val="28"/>
        </w:rPr>
        <w:t>纸浆和造纸</w:t>
      </w:r>
      <w:r>
        <w:rPr>
          <w:rFonts w:hint="eastAsia" w:ascii="Times New Roman" w:hAnsi="Times New Roman" w:eastAsia="仿宋" w:cs="Times New Roman"/>
          <w:sz w:val="28"/>
          <w:szCs w:val="28"/>
        </w:rPr>
        <w:t>行业在配额管理及MRV实施方面的实际运行情况和企业需求，借鉴国际先进经验及国内已纳入行业的实践，形成《</w:t>
      </w:r>
      <w:r>
        <w:rPr>
          <w:rFonts w:ascii="Times New Roman" w:hAnsi="Times New Roman" w:eastAsia="仿宋" w:cs="Times New Roman"/>
          <w:sz w:val="28"/>
          <w:szCs w:val="28"/>
        </w:rPr>
        <w:t>纸浆和造纸</w:t>
      </w:r>
      <w:r>
        <w:rPr>
          <w:rFonts w:hint="eastAsia" w:ascii="Times New Roman" w:hAnsi="Times New Roman" w:eastAsia="仿宋" w:cs="Times New Roman"/>
          <w:sz w:val="28"/>
          <w:szCs w:val="28"/>
        </w:rPr>
        <w:t>行业配额管理及MRV需求分析报告》，为后续配额方案研究和MRV优化提供实证基础和国际参照。内容包括但不限于：</w:t>
      </w:r>
    </w:p>
    <w:p w14:paraId="5D4DD2FB">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rPr>
        <w:t>a. 国际国内经验对比分析：研究国际主要碳市场（如欧盟ETS、美国加州ETS、英国ETS、韩国ETS等）</w:t>
      </w:r>
      <w:r>
        <w:rPr>
          <w:rFonts w:ascii="Times New Roman" w:hAnsi="Times New Roman" w:eastAsia="仿宋" w:cs="Times New Roman"/>
          <w:sz w:val="28"/>
          <w:szCs w:val="28"/>
        </w:rPr>
        <w:t>纸浆和造纸</w:t>
      </w:r>
      <w:r>
        <w:rPr>
          <w:rFonts w:hint="eastAsia" w:ascii="Times New Roman" w:hAnsi="Times New Roman" w:eastAsia="仿宋" w:cs="Times New Roman"/>
          <w:sz w:val="28"/>
          <w:szCs w:val="28"/>
        </w:rPr>
        <w:t>行业在配额管理（总量控制、有偿分配、基准值设定、拍卖收入使用等）及MRV体系（核算方法、数据质量控制、连续监测系统应用、核查机制等）方面的制度设计与实践经验，评估我国纸浆和造纸行业现行配额管理及MRV体系（包括地方试点碳市场）与国际最佳实践的差异与可借鉴之处。同时，总结国内已纳入行业（如发电、钢铁、铝冶炼、水泥）在配额分配和MRV实施中的经验教训，识别可借鉴的最佳实践与需规避的潜在问题，为</w:t>
      </w:r>
      <w:r>
        <w:rPr>
          <w:rFonts w:ascii="Times New Roman" w:hAnsi="Times New Roman" w:eastAsia="仿宋" w:cs="Times New Roman"/>
          <w:sz w:val="28"/>
          <w:szCs w:val="28"/>
        </w:rPr>
        <w:t>纸浆和造纸</w:t>
      </w:r>
      <w:r>
        <w:rPr>
          <w:rFonts w:hint="eastAsia" w:ascii="Times New Roman" w:hAnsi="Times New Roman" w:eastAsia="仿宋" w:cs="Times New Roman"/>
          <w:sz w:val="28"/>
          <w:szCs w:val="28"/>
        </w:rPr>
        <w:t>行业配额方案设计及MRV体系优化提供参照。</w:t>
      </w:r>
    </w:p>
    <w:p w14:paraId="5837C1E5">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b</w:t>
      </w:r>
      <w:r>
        <w:rPr>
          <w:rFonts w:ascii="Times New Roman" w:hAnsi="Times New Roman" w:eastAsia="仿宋" w:cs="Times New Roman"/>
          <w:sz w:val="28"/>
          <w:szCs w:val="28"/>
          <w:lang w:bidi="ar"/>
        </w:rPr>
        <w:t>. 行业发展动态梳理：系统梳理纸浆和造纸行业近年的产业发展现状与趋势，重点关注行业总体规模、产品结构、原料结构、能源消费结构、能效水平、清洁生产技术应用、碳排放强度等关键指标的变化态势。分析行业区域分布特征，识别不同生产类型的碳排放特点与差异，为配额分配方案参数设定</w:t>
      </w:r>
      <w:r>
        <w:rPr>
          <w:rFonts w:hint="eastAsia" w:ascii="Times New Roman" w:hAnsi="Times New Roman" w:eastAsia="仿宋" w:cs="Times New Roman"/>
          <w:sz w:val="28"/>
          <w:szCs w:val="28"/>
          <w:lang w:bidi="ar"/>
        </w:rPr>
        <w:t>及MRV体系优化</w:t>
      </w:r>
      <w:r>
        <w:rPr>
          <w:rFonts w:ascii="Times New Roman" w:hAnsi="Times New Roman" w:eastAsia="仿宋" w:cs="Times New Roman"/>
          <w:sz w:val="28"/>
          <w:szCs w:val="28"/>
          <w:lang w:bidi="ar"/>
        </w:rPr>
        <w:t>提供</w:t>
      </w:r>
      <w:r>
        <w:rPr>
          <w:rFonts w:hint="eastAsia" w:ascii="Times New Roman" w:hAnsi="Times New Roman" w:eastAsia="仿宋" w:cs="Times New Roman"/>
          <w:sz w:val="28"/>
          <w:szCs w:val="28"/>
          <w:lang w:bidi="ar"/>
        </w:rPr>
        <w:t>行业</w:t>
      </w:r>
      <w:r>
        <w:rPr>
          <w:rFonts w:ascii="Times New Roman" w:hAnsi="Times New Roman" w:eastAsia="仿宋" w:cs="Times New Roman"/>
          <w:sz w:val="28"/>
          <w:szCs w:val="28"/>
          <w:lang w:bidi="ar"/>
        </w:rPr>
        <w:t>支撑。</w:t>
      </w:r>
    </w:p>
    <w:p w14:paraId="5837C1E6">
      <w:pPr>
        <w:widowControl/>
        <w:spacing w:before="156" w:beforeLines="50" w:after="156" w:afterLines="50"/>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lang w:bidi="ar"/>
        </w:rPr>
        <w:t>c</w:t>
      </w:r>
      <w:r>
        <w:rPr>
          <w:rFonts w:ascii="Times New Roman" w:hAnsi="Times New Roman" w:eastAsia="仿宋" w:cs="Times New Roman"/>
          <w:sz w:val="28"/>
          <w:szCs w:val="28"/>
          <w:lang w:bidi="ar"/>
        </w:rPr>
        <w:t>. 企业</w:t>
      </w:r>
      <w:r>
        <w:rPr>
          <w:rFonts w:hint="eastAsia" w:eastAsia="仿宋"/>
          <w:sz w:val="28"/>
          <w:szCs w:val="28"/>
        </w:rPr>
        <w:t>和主管部门</w:t>
      </w:r>
      <w:r>
        <w:rPr>
          <w:rFonts w:ascii="Times New Roman" w:hAnsi="Times New Roman" w:eastAsia="仿宋" w:cs="Times New Roman"/>
          <w:sz w:val="28"/>
          <w:szCs w:val="28"/>
          <w:lang w:bidi="ar"/>
        </w:rPr>
        <w:t>诉求访谈：面向不同类型、规模、工艺的纸浆和造纸生产企业，通过问卷调研与典型</w:t>
      </w:r>
      <w:r>
        <w:rPr>
          <w:rFonts w:hint="eastAsia" w:ascii="Times New Roman" w:hAnsi="Times New Roman" w:eastAsia="仿宋" w:cs="Times New Roman"/>
          <w:sz w:val="28"/>
          <w:szCs w:val="28"/>
          <w:lang w:eastAsia="zh-CN" w:bidi="ar"/>
        </w:rPr>
        <w:t>企业现场调研</w:t>
      </w:r>
      <w:r>
        <w:rPr>
          <w:rFonts w:ascii="Times New Roman" w:hAnsi="Times New Roman" w:eastAsia="仿宋" w:cs="Times New Roman"/>
          <w:sz w:val="28"/>
          <w:szCs w:val="28"/>
          <w:lang w:bidi="ar"/>
        </w:rPr>
        <w:t>相结合的方式，</w:t>
      </w:r>
      <w:r>
        <w:rPr>
          <w:rFonts w:hint="eastAsia" w:ascii="Times New Roman" w:hAnsi="Times New Roman" w:eastAsia="仿宋" w:cs="Times New Roman"/>
          <w:sz w:val="28"/>
          <w:szCs w:val="28"/>
        </w:rPr>
        <w:t>系统了解企业在配额管理</w:t>
      </w:r>
      <w:r>
        <w:rPr>
          <w:rFonts w:hint="eastAsia" w:ascii="Times New Roman" w:hAnsi="Times New Roman" w:eastAsia="仿宋" w:cs="Times New Roman"/>
          <w:sz w:val="28"/>
          <w:szCs w:val="28"/>
          <w:lang w:eastAsia="zh-CN"/>
        </w:rPr>
        <w:t>的政策诉求</w:t>
      </w:r>
      <w:r>
        <w:rPr>
          <w:rFonts w:ascii="Times New Roman" w:hAnsi="Times New Roman" w:eastAsia="仿宋" w:cs="Times New Roman"/>
          <w:sz w:val="28"/>
          <w:szCs w:val="28"/>
        </w:rPr>
        <w:t>以及MRV实施（如数据</w:t>
      </w:r>
      <w:r>
        <w:rPr>
          <w:rFonts w:hint="eastAsia" w:ascii="Times New Roman" w:hAnsi="Times New Roman" w:eastAsia="仿宋" w:cs="Times New Roman"/>
          <w:sz w:val="28"/>
          <w:szCs w:val="28"/>
        </w:rPr>
        <w:t>监测</w:t>
      </w:r>
      <w:r>
        <w:rPr>
          <w:rFonts w:ascii="Times New Roman" w:hAnsi="Times New Roman" w:eastAsia="仿宋" w:cs="Times New Roman"/>
          <w:sz w:val="28"/>
          <w:szCs w:val="28"/>
        </w:rPr>
        <w:t>规范性、核算边界清晰度、核查服务质量、新技术应用需求等）</w:t>
      </w:r>
      <w:r>
        <w:rPr>
          <w:rFonts w:hint="eastAsia" w:ascii="Times New Roman" w:hAnsi="Times New Roman" w:eastAsia="仿宋" w:cs="Times New Roman"/>
          <w:sz w:val="28"/>
          <w:szCs w:val="28"/>
        </w:rPr>
        <w:t>方面的技术困难（承担单位应在项目建议书中明确提出拟调研的企业数量、选点依据及覆盖说明）。同时，面向国家及地方生态环境主管部门，通过专题座谈与调研访谈相结合的方式，了解主管部门在</w:t>
      </w:r>
      <w:r>
        <w:rPr>
          <w:rFonts w:ascii="Times New Roman" w:hAnsi="Times New Roman" w:eastAsia="仿宋" w:cs="Times New Roman"/>
          <w:sz w:val="28"/>
          <w:szCs w:val="28"/>
          <w:lang w:bidi="ar"/>
        </w:rPr>
        <w:t>纸浆和造纸</w:t>
      </w:r>
      <w:r>
        <w:rPr>
          <w:rFonts w:hint="eastAsia" w:ascii="Times New Roman" w:hAnsi="Times New Roman" w:eastAsia="仿宋" w:cs="Times New Roman"/>
          <w:sz w:val="28"/>
          <w:szCs w:val="28"/>
        </w:rPr>
        <w:t>行业碳排放数据管理、核算指南执行、核查监管等方面的实际运行经验与改进建议，形成</w:t>
      </w:r>
      <w:r>
        <w:rPr>
          <w:rFonts w:ascii="Times New Roman" w:hAnsi="Times New Roman" w:eastAsia="仿宋" w:cs="Times New Roman"/>
          <w:sz w:val="28"/>
          <w:szCs w:val="28"/>
          <w:lang w:bidi="ar"/>
        </w:rPr>
        <w:t>纸浆和造纸</w:t>
      </w:r>
      <w:r>
        <w:rPr>
          <w:rFonts w:hint="eastAsia" w:ascii="Times New Roman" w:hAnsi="Times New Roman" w:eastAsia="仿宋" w:cs="Times New Roman"/>
          <w:sz w:val="28"/>
          <w:szCs w:val="28"/>
        </w:rPr>
        <w:t>行业配额管理及MRV需求分析报告。</w:t>
      </w:r>
    </w:p>
    <w:p w14:paraId="5837C1E7">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3.2.2 纸浆和造纸行业配额管理机制</w:t>
      </w:r>
      <w:r>
        <w:rPr>
          <w:rFonts w:hint="eastAsia" w:ascii="Times New Roman" w:hAnsi="Times New Roman" w:eastAsia="仿宋" w:cs="Times New Roman"/>
          <w:sz w:val="28"/>
          <w:szCs w:val="28"/>
        </w:rPr>
        <w:t>前瞻性</w:t>
      </w:r>
      <w:r>
        <w:rPr>
          <w:rFonts w:ascii="Times New Roman" w:hAnsi="Times New Roman" w:eastAsia="仿宋" w:cs="Times New Roman"/>
          <w:sz w:val="28"/>
          <w:szCs w:val="28"/>
        </w:rPr>
        <w:t>研究</w:t>
      </w:r>
    </w:p>
    <w:p w14:paraId="3284A72B">
      <w:pPr>
        <w:widowControl/>
        <w:spacing w:before="156" w:beforeLines="50" w:after="156" w:afterLines="50"/>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rPr>
        <w:t>本项任务旨在结合国际经验和国内已纳入行业实践，在PMO统一协调下，充分听取PMI-3分包承担单位的指导意见，研究</w:t>
      </w:r>
      <w:r>
        <w:rPr>
          <w:rFonts w:ascii="Times New Roman" w:hAnsi="Times New Roman" w:eastAsia="仿宋" w:cs="Times New Roman"/>
          <w:sz w:val="28"/>
          <w:szCs w:val="28"/>
        </w:rPr>
        <w:t>纸浆和造纸</w:t>
      </w:r>
      <w:r>
        <w:rPr>
          <w:rFonts w:hint="eastAsia" w:ascii="Times New Roman" w:hAnsi="Times New Roman" w:eastAsia="仿宋" w:cs="Times New Roman"/>
          <w:sz w:val="28"/>
          <w:szCs w:val="28"/>
        </w:rPr>
        <w:t>行业纳入全国碳排放权交易市场后的配额分配方案，并前瞻性考虑总量控制及有偿分配等制度转型方向，形成《</w:t>
      </w:r>
      <w:r>
        <w:rPr>
          <w:rFonts w:ascii="Times New Roman" w:hAnsi="Times New Roman" w:eastAsia="仿宋" w:cs="Times New Roman"/>
          <w:sz w:val="28"/>
          <w:szCs w:val="28"/>
        </w:rPr>
        <w:t>纸浆和造纸</w:t>
      </w:r>
      <w:r>
        <w:rPr>
          <w:rFonts w:hint="eastAsia" w:ascii="Times New Roman" w:hAnsi="Times New Roman" w:eastAsia="仿宋" w:cs="Times New Roman"/>
          <w:sz w:val="28"/>
          <w:szCs w:val="28"/>
        </w:rPr>
        <w:t>行业配额管理制度前瞻性研究报告》。内容包括但不限于：</w:t>
      </w:r>
    </w:p>
    <w:p w14:paraId="1958BD4E">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bidi="ar"/>
        </w:rPr>
        <w:t>a. 配额分配方案研究：</w:t>
      </w:r>
      <w:r>
        <w:rPr>
          <w:rFonts w:hint="eastAsia" w:ascii="Times New Roman" w:hAnsi="Times New Roman" w:eastAsia="仿宋" w:cs="Times New Roman"/>
          <w:sz w:val="28"/>
          <w:szCs w:val="28"/>
          <w:lang w:eastAsia="zh-CN" w:bidi="ar"/>
        </w:rPr>
        <w:t>简要</w:t>
      </w:r>
      <w:r>
        <w:rPr>
          <w:rFonts w:hint="eastAsia" w:ascii="Times New Roman" w:hAnsi="Times New Roman" w:eastAsia="仿宋" w:cs="Times New Roman"/>
          <w:sz w:val="28"/>
          <w:szCs w:val="28"/>
          <w:lang w:bidi="ar"/>
        </w:rPr>
        <w:t>研究已纳入行业（如发电、钢铁、铝冶炼、水泥）在配额分配中遇到的共性问题，特别是产品多样性与基准值设定的处理经验，分析其对纸浆和造纸行业的借鉴意义。研究纸浆和造纸行业配额分配的关键要素设计，包括配额边界的合理界定、配额分配方式的选择与适用条件、产品分类与基准值的设定方法、</w:t>
      </w:r>
      <w:r>
        <w:rPr>
          <w:rFonts w:ascii="Times New Roman" w:hAnsi="Times New Roman" w:eastAsia="仿宋" w:cs="Times New Roman"/>
          <w:sz w:val="28"/>
          <w:szCs w:val="28"/>
          <w:lang w:bidi="ar"/>
        </w:rPr>
        <w:t>特殊情形</w:t>
      </w:r>
      <w:r>
        <w:rPr>
          <w:rFonts w:hint="eastAsia" w:ascii="Times New Roman" w:hAnsi="Times New Roman" w:eastAsia="仿宋" w:cs="Times New Roman"/>
          <w:sz w:val="28"/>
          <w:szCs w:val="28"/>
          <w:lang w:bidi="ar"/>
        </w:rPr>
        <w:t>（如生物质燃料利用、热电联产、废水处理甲烷回收等涉及核算边界与排放量计算的情形，以及绿电使用等涉及履约或配额调整的情形等）的处理规则。同时，前瞻性研究有偿配额与免费配额相结合的设计结构，探索有偿分配比例的有序提升路径及其对不同类型造纸企业碳成本的影响，并考虑《意见》明确的配额总量控制方向，研究行业中长期制度转型的可能路径及其对配额方案设计的影响。</w:t>
      </w:r>
    </w:p>
    <w:p w14:paraId="38531B45">
      <w:pPr>
        <w:widowControl/>
        <w:spacing w:before="156" w:beforeLines="50" w:after="156" w:afterLines="50"/>
        <w:ind w:firstLine="560" w:firstLineChars="200"/>
        <w:jc w:val="left"/>
        <w:rPr>
          <w:rFonts w:ascii="Times New Roman" w:hAnsi="Times New Roman" w:eastAsia="仿宋" w:cs="Times New Roman"/>
          <w:sz w:val="28"/>
          <w:szCs w:val="28"/>
          <w:lang w:bidi="ar"/>
        </w:rPr>
      </w:pPr>
      <w:r>
        <w:rPr>
          <w:rFonts w:hint="eastAsia" w:ascii="Times New Roman" w:hAnsi="Times New Roman" w:eastAsia="仿宋" w:cs="Times New Roman"/>
          <w:sz w:val="28"/>
          <w:szCs w:val="28"/>
          <w:lang w:val="en-US" w:eastAsia="zh-CN" w:bidi="ar"/>
        </w:rPr>
        <w:t>b</w:t>
      </w:r>
      <w:r>
        <w:rPr>
          <w:rFonts w:hint="eastAsia" w:ascii="Times New Roman" w:hAnsi="Times New Roman" w:eastAsia="仿宋" w:cs="Times New Roman"/>
          <w:sz w:val="28"/>
          <w:szCs w:val="28"/>
          <w:lang w:bidi="ar"/>
        </w:rPr>
        <w:t>. 企业应对策略分析：分析纸浆和造纸行业纳入全国碳排放权交易市场后，不同类型企业可能面临的配额约束及应对策略，包括但不限于：优化生产工艺、提高能效、调整燃料结构、开展碳资产管理、参与碳市场交易等。同时，前瞻性研究在配额总量控制及有偿分配制度下，企业中长期减排路径选择、碳成本管理及低碳技术投资策略，为企业提前布局碳市场提供参考。</w:t>
      </w:r>
    </w:p>
    <w:p w14:paraId="5837C1EA">
      <w:pPr>
        <w:widowControl/>
        <w:spacing w:before="156" w:beforeLines="50" w:after="156" w:afterLines="50"/>
        <w:ind w:firstLine="560" w:firstLineChars="200"/>
        <w:jc w:val="left"/>
        <w:rPr>
          <w:rFonts w:ascii="Times New Roman" w:hAnsi="Times New Roman" w:eastAsia="仿宋" w:cs="Times New Roman"/>
          <w:sz w:val="28"/>
          <w:szCs w:val="28"/>
        </w:rPr>
      </w:pPr>
      <w:r>
        <w:rPr>
          <w:rFonts w:hint="eastAsia" w:ascii="Times New Roman" w:hAnsi="Times New Roman" w:eastAsia="仿宋" w:cs="Times New Roman"/>
          <w:sz w:val="28"/>
          <w:szCs w:val="28"/>
          <w:lang w:val="en-US" w:eastAsia="zh-CN" w:bidi="ar"/>
        </w:rPr>
        <w:t>c</w:t>
      </w:r>
      <w:r>
        <w:rPr>
          <w:rFonts w:hint="eastAsia" w:ascii="Times New Roman" w:hAnsi="Times New Roman" w:eastAsia="仿宋" w:cs="Times New Roman"/>
          <w:sz w:val="28"/>
          <w:szCs w:val="28"/>
          <w:lang w:bidi="ar"/>
        </w:rPr>
        <w:t>. 配额分配方案制定建议：综合上述研究，提出纸浆和造纸行业配额分配方案的制定建议，为未来行业纳入全国碳排放权交易市场后的配额分配工作提供技术储备。同时，配合PMO参与配额管理相关交流会，就行业政策动向、行业发展现状及最新动态开展深入交流。</w:t>
      </w:r>
    </w:p>
    <w:p w14:paraId="5837C1EB">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3.2.3 纸浆和造纸行业MRV体系优化研究</w:t>
      </w:r>
    </w:p>
    <w:p w14:paraId="06D95973">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本项任务旨在系统诊断</w:t>
      </w:r>
      <w:r>
        <w:rPr>
          <w:rFonts w:ascii="Times New Roman" w:hAnsi="Times New Roman" w:eastAsia="仿宋" w:cs="Times New Roman"/>
          <w:sz w:val="28"/>
          <w:szCs w:val="28"/>
        </w:rPr>
        <w:t>纸浆和造纸</w:t>
      </w:r>
      <w:r>
        <w:rPr>
          <w:rFonts w:hint="eastAsia" w:ascii="Times New Roman" w:hAnsi="Times New Roman" w:eastAsia="仿宋" w:cs="Times New Roman"/>
          <w:sz w:val="28"/>
          <w:szCs w:val="28"/>
        </w:rPr>
        <w:t>行业MRV体系运行中的主要难点，在PMO的统一协调下，综合考虑PMI-4及PMI-17分包承担单位的指导意见，借鉴国际经验及国内已纳入行业实践，从核算方法、数据质量控制、核查能力等方面提出优化建议，形成《</w:t>
      </w:r>
      <w:r>
        <w:rPr>
          <w:rFonts w:ascii="Times New Roman" w:hAnsi="Times New Roman" w:eastAsia="仿宋" w:cs="Times New Roman"/>
          <w:sz w:val="28"/>
          <w:szCs w:val="28"/>
        </w:rPr>
        <w:t>纸浆和造纸</w:t>
      </w:r>
      <w:r>
        <w:rPr>
          <w:rFonts w:hint="eastAsia" w:ascii="Times New Roman" w:hAnsi="Times New Roman" w:eastAsia="仿宋" w:cs="Times New Roman"/>
          <w:sz w:val="28"/>
          <w:szCs w:val="28"/>
        </w:rPr>
        <w:t>行业MRV体系改进建议报告》。内容包括但不限于：</w:t>
      </w:r>
    </w:p>
    <w:p w14:paraId="4903BE81">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a. 碳排放核算难点诊断：系统梳理</w:t>
      </w:r>
      <w:r>
        <w:rPr>
          <w:rFonts w:ascii="Times New Roman" w:hAnsi="Times New Roman" w:eastAsia="仿宋" w:cs="Times New Roman"/>
          <w:sz w:val="28"/>
          <w:szCs w:val="28"/>
        </w:rPr>
        <w:t>纸浆和造纸行业</w:t>
      </w:r>
      <w:r>
        <w:rPr>
          <w:rFonts w:hint="eastAsia" w:ascii="Times New Roman" w:hAnsi="Times New Roman" w:eastAsia="仿宋" w:cs="Times New Roman"/>
          <w:sz w:val="28"/>
          <w:szCs w:val="28"/>
        </w:rPr>
        <w:t>现行技术指南在实际执行中的主要难点，结合纸浆和造纸行业工艺流程和排放源特点，重点分析核算边界的清晰度、排放源的完整性、活动水平数据获取方式与质量保证、排放因子的实测与缺省值使用规则、数据质量控制计划的完整性与可操作性等。研究应兼顾企业执行层面和第三方核查机构在实际操作中遇到的共性问题。</w:t>
      </w:r>
    </w:p>
    <w:p w14:paraId="4E4C21CB">
      <w:pPr>
        <w:spacing w:before="156" w:beforeLines="50" w:after="156" w:afterLines="50"/>
        <w:ind w:firstLine="560" w:firstLineChars="200"/>
        <w:rPr>
          <w:rFonts w:ascii="Times New Roman" w:hAnsi="Times New Roman" w:eastAsia="仿宋" w:cs="Times New Roman"/>
          <w:sz w:val="28"/>
          <w:szCs w:val="28"/>
          <w:highlight w:val="green"/>
        </w:rPr>
      </w:pPr>
      <w:r>
        <w:rPr>
          <w:rFonts w:hint="eastAsia" w:ascii="Times New Roman" w:hAnsi="Times New Roman" w:eastAsia="仿宋" w:cs="Times New Roman"/>
          <w:sz w:val="28"/>
          <w:szCs w:val="28"/>
        </w:rPr>
        <w:t>b. 数据质量控制与创新技术应用研究：研究纸浆和造纸企业碳排放数据质量控制的实施情况，包括计量器具配备与管理、实验室检测分析能力及数据报送质量现状等，评估现行数据质量管理体系与全国碳排放权交易市场数据质量要求的差距。同时，梳理分析国内外纸浆和造纸行业在碳排放数据管理相关创新技术应用情况，包括但不限于：在线烟气连续监测系统、物料智能计量系统、区块链数据存证、废水厌氧处理甲烷在线监测技术、AI辅助排放因子测算等，评估创新技术的成熟度、应用效果及其对提升数据质量控制的潜力。</w:t>
      </w:r>
    </w:p>
    <w:p w14:paraId="4BF057A6">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c. 面向制度转型的MRV支持能力分析：前瞻性分析纸浆和造纸行业现行MRV体系对未来配额总量控制及有偿分配实施的支撑能力，特别是在生物质碳与化石碳的准确区分、废水甲烷排放的准确性、不同产品线排放数据可追溯性等方面的能力缺口，提出适应制度转型的MRV改进方向与实施路径。内容包括但不限于：核算指南修订建议、核查工作改进意见、数据质量保障机制强化路径、全国碳市场平台优化及新型监测技术推荐应用等。</w:t>
      </w:r>
    </w:p>
    <w:p w14:paraId="5837C1EE">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d. 行业MRV体系优化建议：综合上述分析，系统提出纸浆和造纸行业MRV体系优化改进建议。同时，配合PMO参与MRV体系优化相关交流会，就行业政策动向、行业发展现状及最新动态开展深入交流。</w:t>
      </w:r>
    </w:p>
    <w:p w14:paraId="3018CEFE">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四、预计交付成果</w:t>
      </w:r>
    </w:p>
    <w:p w14:paraId="647B319A">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sz w:val="28"/>
          <w:szCs w:val="28"/>
        </w:rPr>
        <w:t>本</w:t>
      </w:r>
      <w:r>
        <w:rPr>
          <w:rFonts w:hint="eastAsia" w:ascii="Times New Roman" w:hAnsi="Times New Roman" w:eastAsia="仿宋" w:cs="Times New Roman"/>
          <w:color w:val="000000" w:themeColor="text1"/>
          <w:sz w:val="28"/>
          <w:szCs w:val="28"/>
          <w14:textFill>
            <w14:solidFill>
              <w14:schemeClr w14:val="tx1"/>
            </w14:solidFill>
          </w14:textFill>
        </w:rPr>
        <w:t>项目预计成果包括：</w:t>
      </w:r>
    </w:p>
    <w:p w14:paraId="47C902F1">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4.1 《</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行业配额管理及MRV需求分析报告》</w:t>
      </w:r>
    </w:p>
    <w:p w14:paraId="57889AD1">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4.2 《</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行业配额管理制度前瞻性研究报告》</w:t>
      </w:r>
    </w:p>
    <w:p w14:paraId="7E0C1C89">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4.3 《</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行业MRV体系改进建议报告》</w:t>
      </w:r>
    </w:p>
    <w:p w14:paraId="2036B154">
      <w:pPr>
        <w:spacing w:before="156" w:beforeLines="50" w:after="156" w:afterLines="50"/>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本分包合同所有交付成果应与相关利益方进行磋商，并</w:t>
      </w:r>
      <w:r>
        <w:rPr>
          <w:rFonts w:hint="eastAsia" w:ascii="Times New Roman" w:hAnsi="Times New Roman" w:eastAsia="仿宋_GB2312" w:cs="Times New Roman"/>
          <w:sz w:val="28"/>
          <w:szCs w:val="28"/>
          <w:lang w:val="en-US" w:eastAsia="zh-CN"/>
        </w:rPr>
        <w:t>按照PMO提供的环境与社会相关工具包</w:t>
      </w:r>
      <w:r>
        <w:rPr>
          <w:rFonts w:hint="default" w:ascii="Times New Roman" w:hAnsi="Times New Roman" w:eastAsia="仿宋_GB2312" w:cs="Times New Roman"/>
          <w:sz w:val="28"/>
          <w:szCs w:val="28"/>
          <w:lang w:val="en-US" w:eastAsia="zh-CN"/>
        </w:rPr>
        <w:t>形成磋商纪要</w:t>
      </w:r>
      <w:r>
        <w:rPr>
          <w:rFonts w:hint="eastAsia" w:ascii="Times New Roman" w:hAnsi="Times New Roman" w:eastAsia="仿宋_GB2312" w:cs="Times New Roman"/>
          <w:sz w:val="28"/>
          <w:szCs w:val="28"/>
          <w:lang w:val="en-US" w:eastAsia="zh-CN"/>
        </w:rPr>
        <w:t>（至少包括人员、内容及照片）、意见反馈及采纳情况，并按要求提交进展报告</w:t>
      </w:r>
      <w:r>
        <w:rPr>
          <w:rFonts w:hint="default" w:ascii="Times New Roman" w:hAnsi="Times New Roman" w:eastAsia="仿宋_GB2312" w:cs="Times New Roman"/>
          <w:sz w:val="28"/>
          <w:szCs w:val="28"/>
          <w:lang w:val="en-US" w:eastAsia="zh-CN"/>
        </w:rPr>
        <w:t>。</w:t>
      </w:r>
    </w:p>
    <w:p w14:paraId="762B8F82">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sz w:val="28"/>
          <w:szCs w:val="28"/>
        </w:rPr>
      </w:pPr>
      <w:r>
        <w:rPr>
          <w:rFonts w:hint="eastAsia" w:ascii="Times New Roman" w:hAnsi="Times New Roman" w:eastAsia="仿宋" w:cs="Times New Roman"/>
          <w:color w:val="000000" w:themeColor="text1"/>
          <w:sz w:val="28"/>
          <w:szCs w:val="28"/>
          <w14:textFill>
            <w14:solidFill>
              <w14:schemeClr w14:val="tx1"/>
            </w14:solidFill>
          </w14:textFill>
        </w:rPr>
        <w:t>本分包合同所有</w:t>
      </w:r>
      <w:r>
        <w:rPr>
          <w:rFonts w:ascii="Times New Roman" w:hAnsi="Times New Roman" w:eastAsia="仿宋" w:cs="Times New Roman"/>
          <w:color w:val="000000" w:themeColor="text1"/>
          <w:sz w:val="28"/>
          <w:szCs w:val="28"/>
          <w14:textFill>
            <w14:solidFill>
              <w14:schemeClr w14:val="tx1"/>
            </w14:solidFill>
          </w14:textFill>
        </w:rPr>
        <w:t>交付成果</w:t>
      </w:r>
      <w:r>
        <w:rPr>
          <w:rFonts w:hint="eastAsia" w:ascii="Times New Roman" w:hAnsi="Times New Roman" w:eastAsia="仿宋" w:cs="Times New Roman"/>
          <w:sz w:val="28"/>
          <w:szCs w:val="28"/>
        </w:rPr>
        <w:t>均须以中英文双语形式提交，如表述出现不一致或矛盾，以中文为准。</w:t>
      </w:r>
    </w:p>
    <w:p w14:paraId="6A2C08D7">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本</w:t>
      </w:r>
      <w:r>
        <w:rPr>
          <w:rFonts w:hint="eastAsia" w:ascii="Times New Roman" w:hAnsi="Times New Roman" w:eastAsia="仿宋" w:cs="Times New Roman"/>
          <w:color w:val="000000" w:themeColor="text1"/>
          <w:sz w:val="28"/>
          <w:szCs w:val="28"/>
          <w14:textFill>
            <w14:solidFill>
              <w14:schemeClr w14:val="tx1"/>
            </w14:solidFill>
          </w14:textFill>
        </w:rPr>
        <w:t>分包</w:t>
      </w:r>
      <w:r>
        <w:rPr>
          <w:rFonts w:ascii="Times New Roman" w:hAnsi="Times New Roman" w:eastAsia="仿宋" w:cs="Times New Roman"/>
          <w:color w:val="000000" w:themeColor="text1"/>
          <w:sz w:val="28"/>
          <w:szCs w:val="28"/>
          <w14:textFill>
            <w14:solidFill>
              <w14:schemeClr w14:val="tx1"/>
            </w14:solidFill>
          </w14:textFill>
        </w:rPr>
        <w:t>合同的交付成果将为实现以下</w:t>
      </w:r>
      <w:r>
        <w:rPr>
          <w:rFonts w:hint="eastAsia" w:ascii="Times New Roman" w:hAnsi="Times New Roman" w:eastAsia="仿宋" w:cs="Times New Roman"/>
          <w:color w:val="000000" w:themeColor="text1"/>
          <w:sz w:val="28"/>
          <w:szCs w:val="28"/>
          <w14:textFill>
            <w14:solidFill>
              <w14:schemeClr w14:val="tx1"/>
            </w14:solidFill>
          </w14:textFill>
        </w:rPr>
        <w:t>项目文件</w:t>
      </w:r>
      <w:r>
        <w:rPr>
          <w:rStyle w:val="17"/>
          <w:rFonts w:hint="eastAsia" w:ascii="Times New Roman" w:hAnsi="Times New Roman" w:eastAsia="仿宋" w:cs="Times New Roman"/>
          <w:color w:val="000000" w:themeColor="text1"/>
          <w:sz w:val="28"/>
          <w:szCs w:val="28"/>
          <w14:textFill>
            <w14:solidFill>
              <w14:schemeClr w14:val="tx1"/>
            </w14:solidFill>
          </w14:textFill>
        </w:rPr>
        <w:footnoteReference w:id="3"/>
      </w:r>
      <w:r>
        <w:rPr>
          <w:rFonts w:hint="eastAsia" w:ascii="Times New Roman" w:hAnsi="Times New Roman" w:eastAsia="仿宋" w:cs="Times New Roman"/>
          <w:color w:val="000000" w:themeColor="text1"/>
          <w:sz w:val="28"/>
          <w:szCs w:val="28"/>
          <w14:textFill>
            <w14:solidFill>
              <w14:schemeClr w14:val="tx1"/>
            </w14:solidFill>
          </w14:textFill>
        </w:rPr>
        <w:t>中的项目开发目标（PDO）</w:t>
      </w:r>
      <w:r>
        <w:rPr>
          <w:rFonts w:ascii="Times New Roman" w:hAnsi="Times New Roman" w:eastAsia="仿宋" w:cs="Times New Roman"/>
          <w:color w:val="000000" w:themeColor="text1"/>
          <w:sz w:val="28"/>
          <w:szCs w:val="28"/>
          <w14:textFill>
            <w14:solidFill>
              <w14:schemeClr w14:val="tx1"/>
            </w14:solidFill>
          </w14:textFill>
        </w:rPr>
        <w:t>及中期指标作出贡献</w:t>
      </w:r>
      <w:r>
        <w:rPr>
          <w:rFonts w:hint="eastAsia" w:ascii="Times New Roman" w:hAnsi="Times New Roman" w:eastAsia="仿宋" w:cs="Times New Roman"/>
          <w:color w:val="000000" w:themeColor="text1"/>
          <w:sz w:val="28"/>
          <w:szCs w:val="28"/>
          <w14:textFill>
            <w14:solidFill>
              <w14:schemeClr w14:val="tx1"/>
            </w14:solidFill>
          </w14:textFill>
        </w:rPr>
        <w:t>：</w:t>
      </w:r>
    </w:p>
    <w:tbl>
      <w:tblPr>
        <w:tblStyle w:val="13"/>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3"/>
        <w:gridCol w:w="4763"/>
        <w:gridCol w:w="1845"/>
      </w:tblGrid>
      <w:tr w14:paraId="5EF7B273">
        <w:trPr>
          <w:tblHeader/>
        </w:trPr>
        <w:tc>
          <w:tcPr>
            <w:tcW w:w="1913" w:type="dxa"/>
            <w:tcBorders>
              <w:tl2br w:val="nil"/>
              <w:tr2bl w:val="nil"/>
            </w:tcBorders>
            <w:vAlign w:val="center"/>
          </w:tcPr>
          <w:p w14:paraId="2134A91B">
            <w:pPr>
              <w:pStyle w:val="2"/>
              <w:ind w:firstLine="0" w:firstLineChars="0"/>
              <w:jc w:val="center"/>
              <w:rPr>
                <w:rFonts w:ascii="Times New Roman" w:hAnsi="Times New Roman" w:eastAsia="仿宋" w:cs="Times New Roman"/>
                <w:b/>
                <w:bCs/>
                <w:sz w:val="24"/>
              </w:rPr>
            </w:pPr>
            <w:r>
              <w:rPr>
                <w:rFonts w:hint="eastAsia" w:ascii="Times New Roman" w:hAnsi="Times New Roman" w:eastAsia="仿宋" w:cs="Times New Roman"/>
                <w:b/>
                <w:bCs/>
                <w:sz w:val="24"/>
              </w:rPr>
              <w:t>预期交付成果</w:t>
            </w:r>
          </w:p>
        </w:tc>
        <w:tc>
          <w:tcPr>
            <w:tcW w:w="4763" w:type="dxa"/>
            <w:tcBorders>
              <w:tl2br w:val="nil"/>
              <w:tr2bl w:val="nil"/>
            </w:tcBorders>
            <w:vAlign w:val="center"/>
          </w:tcPr>
          <w:p w14:paraId="0BE3DA15">
            <w:pPr>
              <w:pStyle w:val="2"/>
              <w:ind w:firstLine="0" w:firstLineChars="0"/>
              <w:jc w:val="center"/>
              <w:rPr>
                <w:rFonts w:ascii="Times New Roman" w:hAnsi="Times New Roman" w:eastAsia="仿宋" w:cs="Times New Roman"/>
                <w:b/>
                <w:bCs/>
                <w:sz w:val="24"/>
              </w:rPr>
            </w:pPr>
            <w:r>
              <w:rPr>
                <w:rFonts w:hint="eastAsia" w:ascii="Times New Roman" w:hAnsi="Times New Roman" w:eastAsia="仿宋" w:cs="Times New Roman"/>
                <w:b/>
                <w:bCs/>
                <w:sz w:val="24"/>
              </w:rPr>
              <w:t>指标</w:t>
            </w:r>
          </w:p>
        </w:tc>
        <w:tc>
          <w:tcPr>
            <w:tcW w:w="1845" w:type="dxa"/>
            <w:tcBorders>
              <w:tl2br w:val="nil"/>
              <w:tr2bl w:val="nil"/>
            </w:tcBorders>
            <w:vAlign w:val="center"/>
          </w:tcPr>
          <w:p w14:paraId="322FD960">
            <w:pPr>
              <w:pStyle w:val="2"/>
              <w:ind w:firstLine="0" w:firstLineChars="0"/>
              <w:jc w:val="center"/>
              <w:rPr>
                <w:rFonts w:ascii="Times New Roman" w:hAnsi="Times New Roman" w:eastAsia="仿宋" w:cs="Times New Roman"/>
                <w:b/>
                <w:bCs/>
                <w:sz w:val="24"/>
              </w:rPr>
            </w:pPr>
            <w:r>
              <w:rPr>
                <w:rFonts w:hint="eastAsia" w:ascii="Times New Roman" w:hAnsi="Times New Roman" w:eastAsia="仿宋" w:cs="Times New Roman"/>
                <w:b/>
                <w:bCs/>
                <w:sz w:val="24"/>
              </w:rPr>
              <w:t>贡献类型</w:t>
            </w:r>
          </w:p>
        </w:tc>
      </w:tr>
      <w:tr w14:paraId="3A9B5F86">
        <w:tc>
          <w:tcPr>
            <w:tcW w:w="1913" w:type="dxa"/>
            <w:tcBorders>
              <w:tl2br w:val="nil"/>
              <w:tr2bl w:val="nil"/>
            </w:tcBorders>
            <w:vAlign w:val="center"/>
          </w:tcPr>
          <w:p w14:paraId="646635D3">
            <w:pPr>
              <w:pStyle w:val="2"/>
              <w:ind w:firstLine="0" w:firstLineChars="0"/>
              <w:jc w:val="center"/>
              <w:rPr>
                <w:rFonts w:ascii="Times New Roman" w:hAnsi="Times New Roman" w:eastAsia="仿宋" w:cs="Times New Roman"/>
                <w:sz w:val="24"/>
              </w:rPr>
            </w:pPr>
            <w:r>
              <w:rPr>
                <w:rFonts w:ascii="Times New Roman" w:hAnsi="Times New Roman" w:eastAsia="仿宋" w:cs="Times New Roman"/>
                <w:sz w:val="24"/>
              </w:rPr>
              <w:t>交付成果4.2、交付成果4.3</w:t>
            </w:r>
          </w:p>
        </w:tc>
        <w:tc>
          <w:tcPr>
            <w:tcW w:w="4763" w:type="dxa"/>
            <w:tcBorders>
              <w:tl2br w:val="nil"/>
              <w:tr2bl w:val="nil"/>
            </w:tcBorders>
            <w:vAlign w:val="center"/>
          </w:tcPr>
          <w:p w14:paraId="60468E33">
            <w:pPr>
              <w:pStyle w:val="2"/>
              <w:ind w:firstLine="0" w:firstLineChars="0"/>
              <w:jc w:val="left"/>
              <w:rPr>
                <w:rFonts w:ascii="Times New Roman" w:hAnsi="Times New Roman" w:eastAsia="仿宋" w:cs="Times New Roman"/>
                <w:sz w:val="24"/>
              </w:rPr>
            </w:pPr>
            <w:r>
              <w:rPr>
                <w:rFonts w:ascii="Times New Roman" w:hAnsi="Times New Roman" w:eastAsia="仿宋" w:cs="Times New Roman"/>
                <w:sz w:val="24"/>
              </w:rPr>
              <w:t>项目文件PDO指标2——完成3个新增行业共计6项技术指南（草案及终稿）的编制，并通过生态环境部官网发布</w:t>
            </w:r>
          </w:p>
        </w:tc>
        <w:tc>
          <w:tcPr>
            <w:tcW w:w="1845" w:type="dxa"/>
            <w:tcBorders>
              <w:tl2br w:val="nil"/>
              <w:tr2bl w:val="nil"/>
            </w:tcBorders>
            <w:vAlign w:val="center"/>
          </w:tcPr>
          <w:p w14:paraId="350F6F7B">
            <w:pPr>
              <w:pStyle w:val="2"/>
              <w:ind w:firstLine="0" w:firstLineChars="0"/>
              <w:jc w:val="center"/>
              <w:rPr>
                <w:rFonts w:ascii="Times New Roman" w:hAnsi="Times New Roman" w:eastAsia="仿宋" w:cs="Times New Roman"/>
                <w:sz w:val="24"/>
              </w:rPr>
            </w:pPr>
            <w:r>
              <w:rPr>
                <w:rFonts w:ascii="Times New Roman" w:hAnsi="Times New Roman" w:eastAsia="仿宋" w:cs="Times New Roman"/>
                <w:sz w:val="24"/>
              </w:rPr>
              <w:t>间接贡献</w:t>
            </w:r>
          </w:p>
        </w:tc>
      </w:tr>
    </w:tbl>
    <w:p w14:paraId="15A9A257">
      <w:pPr>
        <w:spacing w:line="360" w:lineRule="auto"/>
        <w:rPr>
          <w:rFonts w:ascii="Times New Roman" w:hAnsi="Times New Roman" w:eastAsia="仿宋" w:cs="Times New Roman"/>
          <w:sz w:val="24"/>
        </w:rPr>
      </w:pPr>
    </w:p>
    <w:p w14:paraId="5837C1FE">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五、付款条件及进度安排</w:t>
      </w:r>
    </w:p>
    <w:p w14:paraId="4093F394">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合同的主要任务应在</w:t>
      </w:r>
      <w:r>
        <w:rPr>
          <w:rFonts w:hint="eastAsia" w:ascii="Times New Roman" w:hAnsi="Times New Roman" w:eastAsia="仿宋" w:cs="Times New Roman"/>
          <w:sz w:val="28"/>
          <w:szCs w:val="28"/>
        </w:rPr>
        <w:t>10</w:t>
      </w:r>
      <w:r>
        <w:rPr>
          <w:rFonts w:ascii="Times New Roman" w:hAnsi="Times New Roman" w:eastAsia="仿宋" w:cs="Times New Roman"/>
          <w:sz w:val="28"/>
          <w:szCs w:val="28"/>
        </w:rPr>
        <w:t>个月内完成，即所有关键交付成果须在</w:t>
      </w:r>
      <w:r>
        <w:rPr>
          <w:rFonts w:hint="eastAsia" w:ascii="Times New Roman" w:hAnsi="Times New Roman" w:eastAsia="仿宋" w:cs="Times New Roman"/>
          <w:sz w:val="28"/>
          <w:szCs w:val="28"/>
        </w:rPr>
        <w:t>10</w:t>
      </w:r>
      <w:r>
        <w:rPr>
          <w:rFonts w:ascii="Times New Roman" w:hAnsi="Times New Roman" w:eastAsia="仿宋" w:cs="Times New Roman"/>
          <w:sz w:val="28"/>
          <w:szCs w:val="28"/>
        </w:rPr>
        <w:t>个月内提交。为确保交付成果的质量，</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合同承担</w:t>
      </w:r>
      <w:r>
        <w:rPr>
          <w:rFonts w:hint="eastAsia" w:ascii="Times New Roman" w:hAnsi="Times New Roman" w:eastAsia="仿宋" w:cs="Times New Roman"/>
          <w:sz w:val="28"/>
          <w:szCs w:val="28"/>
        </w:rPr>
        <w:t>单位</w:t>
      </w:r>
      <w:r>
        <w:rPr>
          <w:rFonts w:ascii="Times New Roman" w:hAnsi="Times New Roman" w:eastAsia="仿宋" w:cs="Times New Roman"/>
          <w:sz w:val="28"/>
          <w:szCs w:val="28"/>
        </w:rPr>
        <w:t>应秉持积极的协作精神，根据</w:t>
      </w:r>
      <w:r>
        <w:rPr>
          <w:rFonts w:hint="eastAsia" w:ascii="Times New Roman" w:hAnsi="Times New Roman" w:eastAsia="仿宋" w:cs="Times New Roman"/>
          <w:sz w:val="28"/>
          <w:szCs w:val="28"/>
        </w:rPr>
        <w:t>PMO</w:t>
      </w:r>
      <w:r>
        <w:rPr>
          <w:rFonts w:ascii="Times New Roman" w:hAnsi="Times New Roman" w:eastAsia="仿宋" w:cs="Times New Roman"/>
          <w:sz w:val="28"/>
          <w:szCs w:val="28"/>
        </w:rPr>
        <w:t>的要求，对交付成果进行更新、完善与优化，并提供相关技术支持。</w:t>
      </w:r>
    </w:p>
    <w:p w14:paraId="0D04F1D9">
      <w:pPr>
        <w:ind w:firstLine="560" w:firstLineChars="200"/>
        <w:rPr>
          <w:rFonts w:ascii="Times New Roman" w:hAnsi="Times New Roman" w:eastAsia="仿宋" w:cs="Times New Roman"/>
          <w:sz w:val="24"/>
        </w:rPr>
      </w:pPr>
      <w:r>
        <w:rPr>
          <w:rFonts w:ascii="Times New Roman" w:hAnsi="Times New Roman" w:eastAsia="仿宋" w:cs="Times New Roman"/>
          <w:sz w:val="28"/>
          <w:szCs w:val="28"/>
        </w:rPr>
        <w:t>本</w:t>
      </w:r>
      <w:r>
        <w:rPr>
          <w:rFonts w:hint="eastAsia" w:ascii="Times New Roman" w:hAnsi="Times New Roman" w:eastAsia="仿宋" w:cs="Times New Roman"/>
          <w:sz w:val="28"/>
          <w:szCs w:val="28"/>
        </w:rPr>
        <w:t>分包</w:t>
      </w:r>
      <w:r>
        <w:rPr>
          <w:rFonts w:ascii="Times New Roman" w:hAnsi="Times New Roman" w:eastAsia="仿宋" w:cs="Times New Roman"/>
          <w:sz w:val="28"/>
          <w:szCs w:val="28"/>
        </w:rPr>
        <w:t>合同的款项将分为</w:t>
      </w:r>
      <w:r>
        <w:rPr>
          <w:rFonts w:hint="eastAsia" w:ascii="Times New Roman" w:hAnsi="Times New Roman" w:eastAsia="仿宋" w:cs="Times New Roman"/>
          <w:sz w:val="28"/>
          <w:szCs w:val="28"/>
        </w:rPr>
        <w:t>3笔</w:t>
      </w:r>
      <w:r>
        <w:rPr>
          <w:rFonts w:ascii="Times New Roman" w:hAnsi="Times New Roman" w:eastAsia="仿宋" w:cs="Times New Roman"/>
          <w:sz w:val="28"/>
          <w:szCs w:val="28"/>
        </w:rPr>
        <w:t>支付。承担</w:t>
      </w:r>
      <w:r>
        <w:rPr>
          <w:rFonts w:hint="eastAsia" w:ascii="Times New Roman" w:hAnsi="Times New Roman" w:eastAsia="仿宋" w:cs="Times New Roman"/>
          <w:sz w:val="28"/>
          <w:szCs w:val="28"/>
        </w:rPr>
        <w:t>单位</w:t>
      </w:r>
      <w:r>
        <w:rPr>
          <w:rFonts w:ascii="Times New Roman" w:hAnsi="Times New Roman" w:eastAsia="仿宋" w:cs="Times New Roman"/>
          <w:sz w:val="28"/>
          <w:szCs w:val="28"/>
        </w:rPr>
        <w:t>在提交下表中各期付款所要求的全部文件，且文件经</w:t>
      </w:r>
      <w:r>
        <w:rPr>
          <w:rFonts w:hint="eastAsia" w:ascii="Times New Roman" w:hAnsi="Times New Roman" w:eastAsia="仿宋" w:cs="Times New Roman"/>
          <w:sz w:val="28"/>
          <w:szCs w:val="28"/>
        </w:rPr>
        <w:t>PMO</w:t>
      </w:r>
      <w:r>
        <w:rPr>
          <w:rFonts w:ascii="Times New Roman" w:hAnsi="Times New Roman" w:eastAsia="仿宋" w:cs="Times New Roman"/>
          <w:sz w:val="28"/>
          <w:szCs w:val="28"/>
        </w:rPr>
        <w:t>技术评审并通过专家评审会议满意验收后，方可获得相应款项。交付成果提交及付款的具体时间建议如下</w:t>
      </w:r>
      <w:r>
        <w:rPr>
          <w:rFonts w:hint="eastAsia" w:ascii="Times New Roman" w:hAnsi="Times New Roman" w:eastAsia="仿宋" w:cs="Times New Roman"/>
          <w:sz w:val="28"/>
          <w:szCs w:val="28"/>
        </w:rPr>
        <w:t>：</w:t>
      </w:r>
    </w:p>
    <w:tbl>
      <w:tblPr>
        <w:tblStyle w:val="1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4619"/>
        <w:gridCol w:w="1761"/>
        <w:gridCol w:w="1333"/>
      </w:tblGrid>
      <w:tr w14:paraId="4774CCBD">
        <w:trPr>
          <w:trHeight w:val="462" w:hRule="atLeast"/>
          <w:tblHeader/>
        </w:trPr>
        <w:tc>
          <w:tcPr>
            <w:tcW w:w="473" w:type="pct"/>
            <w:vAlign w:val="center"/>
          </w:tcPr>
          <w:p w14:paraId="4B8F8F76">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序号</w:t>
            </w:r>
          </w:p>
        </w:tc>
        <w:tc>
          <w:tcPr>
            <w:tcW w:w="2710" w:type="pct"/>
            <w:vAlign w:val="center"/>
          </w:tcPr>
          <w:p w14:paraId="646BD826">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交付成果及进度</w:t>
            </w:r>
          </w:p>
        </w:tc>
        <w:tc>
          <w:tcPr>
            <w:tcW w:w="1033" w:type="pct"/>
            <w:vAlign w:val="center"/>
          </w:tcPr>
          <w:p w14:paraId="536C37F8">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预计交付时间</w:t>
            </w:r>
          </w:p>
        </w:tc>
        <w:tc>
          <w:tcPr>
            <w:tcW w:w="782" w:type="pct"/>
            <w:vAlign w:val="center"/>
          </w:tcPr>
          <w:p w14:paraId="46446450">
            <w:pPr>
              <w:spacing w:before="156" w:beforeLines="50" w:after="156" w:afterLines="50"/>
              <w:rPr>
                <w:rFonts w:ascii="Times New Roman" w:hAnsi="Times New Roman" w:eastAsia="仿宋" w:cs="Times New Roman"/>
                <w:b/>
                <w:bCs/>
                <w:sz w:val="24"/>
              </w:rPr>
            </w:pPr>
            <w:r>
              <w:rPr>
                <w:rFonts w:hint="eastAsia" w:ascii="Times New Roman" w:hAnsi="Times New Roman" w:eastAsia="仿宋" w:cs="Times New Roman"/>
                <w:b/>
                <w:bCs/>
                <w:sz w:val="24"/>
              </w:rPr>
              <w:t>支付比例</w:t>
            </w:r>
            <w:r>
              <w:rPr>
                <w:rFonts w:ascii="Times New Roman" w:hAnsi="Times New Roman" w:eastAsia="仿宋" w:cs="Times New Roman"/>
                <w:b/>
                <w:bCs/>
                <w:sz w:val="24"/>
              </w:rPr>
              <w:t xml:space="preserve"> </w:t>
            </w:r>
          </w:p>
        </w:tc>
      </w:tr>
      <w:tr w14:paraId="039A2F81">
        <w:tc>
          <w:tcPr>
            <w:tcW w:w="473" w:type="pct"/>
            <w:vAlign w:val="center"/>
          </w:tcPr>
          <w:p w14:paraId="6AAE7F30">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1</w:t>
            </w:r>
          </w:p>
        </w:tc>
        <w:tc>
          <w:tcPr>
            <w:tcW w:w="2710" w:type="pct"/>
            <w:vAlign w:val="center"/>
          </w:tcPr>
          <w:p w14:paraId="4F7F2540">
            <w:pPr>
              <w:pStyle w:val="24"/>
              <w:numPr>
                <w:ilvl w:val="0"/>
                <w:numId w:val="2"/>
              </w:numPr>
              <w:spacing w:before="156" w:beforeLines="50" w:after="156" w:afterLines="50"/>
              <w:rPr>
                <w:rFonts w:ascii="Times New Roman" w:hAnsi="Times New Roman" w:eastAsia="仿宋" w:cs="Times New Roman"/>
                <w:sz w:val="24"/>
              </w:rPr>
            </w:pPr>
            <w:r>
              <w:rPr>
                <w:rFonts w:ascii="Times New Roman" w:hAnsi="Times New Roman" w:eastAsia="仿宋" w:cs="Times New Roman"/>
                <w:sz w:val="24"/>
              </w:rPr>
              <w:t>详细</w:t>
            </w:r>
            <w:r>
              <w:rPr>
                <w:rFonts w:hint="eastAsia" w:ascii="Times New Roman" w:hAnsi="Times New Roman" w:eastAsia="仿宋" w:cs="Times New Roman"/>
                <w:sz w:val="24"/>
              </w:rPr>
              <w:t>的分包任务</w:t>
            </w:r>
            <w:r>
              <w:rPr>
                <w:rFonts w:ascii="Times New Roman" w:hAnsi="Times New Roman" w:eastAsia="仿宋" w:cs="Times New Roman"/>
                <w:sz w:val="24"/>
              </w:rPr>
              <w:t>实施方案</w:t>
            </w:r>
            <w:r>
              <w:rPr>
                <w:rFonts w:hint="eastAsia" w:ascii="Times New Roman" w:hAnsi="Times New Roman" w:eastAsia="仿宋" w:cs="Times New Roman"/>
                <w:sz w:val="24"/>
              </w:rPr>
              <w:t>（含详细研究方案、工作计划及研究报告大纲）</w:t>
            </w:r>
          </w:p>
        </w:tc>
        <w:tc>
          <w:tcPr>
            <w:tcW w:w="1033" w:type="pct"/>
            <w:vAlign w:val="center"/>
          </w:tcPr>
          <w:p w14:paraId="3CD6A0A8">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合同签署后2个月内</w:t>
            </w:r>
          </w:p>
        </w:tc>
        <w:tc>
          <w:tcPr>
            <w:tcW w:w="782" w:type="pct"/>
            <w:vAlign w:val="center"/>
          </w:tcPr>
          <w:p w14:paraId="0F8F4597">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15%</w:t>
            </w:r>
          </w:p>
        </w:tc>
      </w:tr>
      <w:tr w14:paraId="003ADC44">
        <w:tc>
          <w:tcPr>
            <w:tcW w:w="473" w:type="pct"/>
            <w:vAlign w:val="center"/>
          </w:tcPr>
          <w:p w14:paraId="0E73314D">
            <w:pPr>
              <w:spacing w:before="156" w:beforeLines="50" w:after="156" w:afterLines="50"/>
              <w:jc w:val="center"/>
              <w:rPr>
                <w:rFonts w:ascii="Times New Roman" w:hAnsi="Times New Roman" w:eastAsia="仿宋" w:cs="Times New Roman"/>
                <w:sz w:val="24"/>
              </w:rPr>
            </w:pPr>
            <w:r>
              <w:rPr>
                <w:rFonts w:ascii="Times New Roman" w:hAnsi="Times New Roman" w:eastAsia="仿宋" w:cs="Times New Roman"/>
                <w:sz w:val="24"/>
              </w:rPr>
              <w:t>2</w:t>
            </w:r>
          </w:p>
        </w:tc>
        <w:tc>
          <w:tcPr>
            <w:tcW w:w="2710" w:type="pct"/>
            <w:vAlign w:val="center"/>
          </w:tcPr>
          <w:p w14:paraId="7F0D52F2">
            <w:pPr>
              <w:pStyle w:val="24"/>
              <w:numPr>
                <w:ilvl w:val="0"/>
                <w:numId w:val="3"/>
              </w:numPr>
              <w:spacing w:before="156" w:beforeLines="50" w:after="156" w:afterLines="50"/>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14:textFill>
                  <w14:solidFill>
                    <w14:schemeClr w14:val="tx1"/>
                  </w14:solidFill>
                </w14:textFill>
              </w:rPr>
              <w:t>交付成果4.1、交付成果4.2、交付成果4.3初稿</w:t>
            </w:r>
          </w:p>
        </w:tc>
        <w:tc>
          <w:tcPr>
            <w:tcW w:w="1033" w:type="pct"/>
            <w:vAlign w:val="center"/>
          </w:tcPr>
          <w:p w14:paraId="39037D78">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合同签署后6个月内</w:t>
            </w:r>
          </w:p>
        </w:tc>
        <w:tc>
          <w:tcPr>
            <w:tcW w:w="782" w:type="pct"/>
            <w:vAlign w:val="center"/>
          </w:tcPr>
          <w:p w14:paraId="442A3CE5">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50</w:t>
            </w:r>
            <w:r>
              <w:rPr>
                <w:rFonts w:ascii="Times New Roman" w:hAnsi="Times New Roman" w:eastAsia="仿宋" w:cs="Times New Roman"/>
                <w:sz w:val="24"/>
              </w:rPr>
              <w:t>%</w:t>
            </w:r>
          </w:p>
        </w:tc>
      </w:tr>
      <w:tr w14:paraId="556D8055">
        <w:tc>
          <w:tcPr>
            <w:tcW w:w="473" w:type="pct"/>
            <w:vAlign w:val="center"/>
          </w:tcPr>
          <w:p w14:paraId="2F04AEFE">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3</w:t>
            </w:r>
          </w:p>
        </w:tc>
        <w:tc>
          <w:tcPr>
            <w:tcW w:w="2710" w:type="pct"/>
            <w:vAlign w:val="center"/>
          </w:tcPr>
          <w:p w14:paraId="6433897D">
            <w:pPr>
              <w:pStyle w:val="24"/>
              <w:numPr>
                <w:ilvl w:val="0"/>
                <w:numId w:val="4"/>
              </w:numPr>
              <w:spacing w:before="156" w:beforeLines="50" w:after="156" w:afterLines="50"/>
              <w:rPr>
                <w:rFonts w:ascii="Times New Roman" w:hAnsi="Times New Roman" w:eastAsia="仿宋" w:cs="Times New Roman"/>
                <w:sz w:val="24"/>
              </w:rPr>
            </w:pPr>
            <w:r>
              <w:rPr>
                <w:rFonts w:hint="eastAsia" w:ascii="Times New Roman" w:hAnsi="Times New Roman" w:eastAsia="仿宋" w:cs="Times New Roman"/>
                <w:sz w:val="24"/>
              </w:rPr>
              <w:t>上述所有最终报告</w:t>
            </w:r>
          </w:p>
        </w:tc>
        <w:tc>
          <w:tcPr>
            <w:tcW w:w="1033" w:type="pct"/>
            <w:vAlign w:val="center"/>
          </w:tcPr>
          <w:p w14:paraId="3EA6E5F2">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合同签署后9个月内</w:t>
            </w:r>
          </w:p>
        </w:tc>
        <w:tc>
          <w:tcPr>
            <w:tcW w:w="782" w:type="pct"/>
            <w:vAlign w:val="center"/>
          </w:tcPr>
          <w:p w14:paraId="70911767">
            <w:pPr>
              <w:spacing w:before="156" w:beforeLines="50" w:after="156" w:afterLines="50"/>
              <w:jc w:val="center"/>
              <w:rPr>
                <w:rFonts w:ascii="Times New Roman" w:hAnsi="Times New Roman" w:eastAsia="仿宋" w:cs="Times New Roman"/>
                <w:sz w:val="24"/>
              </w:rPr>
            </w:pPr>
            <w:r>
              <w:rPr>
                <w:rFonts w:hint="eastAsia" w:ascii="Times New Roman" w:hAnsi="Times New Roman" w:eastAsia="仿宋" w:cs="Times New Roman"/>
                <w:sz w:val="24"/>
              </w:rPr>
              <w:t>35</w:t>
            </w:r>
            <w:r>
              <w:rPr>
                <w:rFonts w:ascii="Times New Roman" w:hAnsi="Times New Roman" w:eastAsia="仿宋" w:cs="Times New Roman"/>
                <w:sz w:val="24"/>
              </w:rPr>
              <w:t>%</w:t>
            </w:r>
          </w:p>
        </w:tc>
      </w:tr>
    </w:tbl>
    <w:p w14:paraId="21AD2C54">
      <w:pPr>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承担单位</w:t>
      </w:r>
      <w:r>
        <w:rPr>
          <w:rFonts w:ascii="Times New Roman" w:hAnsi="Times New Roman" w:eastAsia="仿宋" w:cs="Times New Roman"/>
          <w:sz w:val="28"/>
          <w:szCs w:val="28"/>
        </w:rPr>
        <w:t>应在项目建议书中制定详细的项目时间表，明确各项交付成果的提交时间安排。交付成果提交及付款的最终时间安排以合同条款与条件为准。</w:t>
      </w:r>
    </w:p>
    <w:p w14:paraId="5ECF0C0B">
      <w:pPr>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根据分包合同实施的实际情况，经双方协商一致，可对合同进行适当的修订或续签。</w:t>
      </w:r>
    </w:p>
    <w:p w14:paraId="0C4C8576">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六、咨询服务单位资质及团队要求</w:t>
      </w:r>
    </w:p>
    <w:p w14:paraId="33480818">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 xml:space="preserve">6.1 </w:t>
      </w:r>
      <w:r>
        <w:rPr>
          <w:rFonts w:ascii="Times New Roman" w:hAnsi="Times New Roman" w:eastAsia="仿宋" w:cs="Times New Roman"/>
          <w:color w:val="000000" w:themeColor="text1"/>
          <w:sz w:val="28"/>
          <w:szCs w:val="28"/>
          <w14:textFill>
            <w14:solidFill>
              <w14:schemeClr w14:val="tx1"/>
            </w14:solidFill>
          </w14:textFill>
        </w:rPr>
        <w:t>课题承接单位要求</w:t>
      </w:r>
    </w:p>
    <w:p w14:paraId="3574A596">
      <w:pPr>
        <w:widowControl/>
        <w:overflowPunct w:val="0"/>
        <w:autoSpaceDE w:val="0"/>
        <w:autoSpaceDN w:val="0"/>
        <w:adjustRightInd w:val="0"/>
        <w:spacing w:line="360" w:lineRule="auto"/>
        <w:ind w:firstLine="562"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b/>
          <w:bCs/>
          <w:sz w:val="28"/>
          <w:szCs w:val="28"/>
        </w:rPr>
        <w:t>本项目允许联合体参与投标，联合体各方应满足本工作任务大纲所要求的资质条件，且需满足《中华人民共和国政府采购法》第二十二条规定，并明确牵头单位和参与单位的各方职责分工。</w:t>
      </w:r>
    </w:p>
    <w:p w14:paraId="68049E08">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本项目分包任务旨在从行业技术层面和政策评估层面开展研究和评估，要求承担单位具备以下经验：</w:t>
      </w:r>
    </w:p>
    <w:p w14:paraId="3C3F5B0A">
      <w:pPr>
        <w:numPr>
          <w:ilvl w:val="0"/>
          <w:numId w:val="5"/>
        </w:numPr>
        <w:autoSpaceDE w:val="0"/>
        <w:autoSpaceDN w:val="0"/>
        <w:adjustRightInd w:val="0"/>
        <w:spacing w:line="600" w:lineRule="exact"/>
        <w:rPr>
          <w:rFonts w:ascii="Times New Roman" w:hAnsi="Times New Roman" w:eastAsia="仿宋" w:cs="Times New Roman"/>
          <w:sz w:val="28"/>
          <w:szCs w:val="28"/>
        </w:rPr>
      </w:pPr>
      <w:bookmarkStart w:id="0" w:name="_GoBack"/>
      <w:r>
        <w:rPr>
          <w:rFonts w:hint="eastAsia" w:ascii="Times New Roman" w:hAnsi="Times New Roman" w:eastAsia="仿宋" w:cs="Times New Roman"/>
          <w:sz w:val="28"/>
          <w:szCs w:val="28"/>
        </w:rPr>
        <w:t>对全国碳排放权交易市场建设相关政策、要求、发展方向具有深刻的认识，熟悉纸浆和造纸行业工艺流程、碳排放特点和MRV体系的技术规范与实践进展；</w:t>
      </w:r>
    </w:p>
    <w:p w14:paraId="0154DB7C">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具有承担国家级或省部级政策研究项目的经历，特别是与碳市场、纸浆和造纸行业、碳排放数据管理等相关的政策咨询和决策支持研究经验；</w:t>
      </w:r>
    </w:p>
    <w:p w14:paraId="14338B7A">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具备协调典型纸浆和造纸生产企业提供现场调研支持的能力，能够有效组织与纸浆和造纸企业、核查机构、行业协会、主管部门等利益相关方的调研访谈和专题研讨会；</w:t>
      </w:r>
    </w:p>
    <w:p w14:paraId="3670FF98">
      <w:pPr>
        <w:numPr>
          <w:ilvl w:val="0"/>
          <w:numId w:val="5"/>
        </w:numPr>
        <w:autoSpaceDE w:val="0"/>
        <w:autoSpaceDN w:val="0"/>
        <w:adjustRightInd w:val="0"/>
        <w:spacing w:line="600" w:lineRule="exact"/>
        <w:rPr>
          <w:rFonts w:ascii="Times New Roman" w:hAnsi="Times New Roman" w:eastAsia="仿宋" w:cs="Times New Roman"/>
          <w:sz w:val="28"/>
          <w:szCs w:val="28"/>
        </w:rPr>
      </w:pPr>
      <w:r>
        <w:rPr>
          <w:rFonts w:hint="eastAsia" w:ascii="Times New Roman" w:hAnsi="Times New Roman" w:eastAsia="仿宋" w:cs="Times New Roman"/>
          <w:sz w:val="28"/>
          <w:szCs w:val="28"/>
        </w:rPr>
        <w:t>具备国际交流合作基础，能够获取国际碳市场纸浆和造纸行业配额管理及MRV体系的最新动态和实践经验。</w:t>
      </w:r>
      <w:bookmarkEnd w:id="0"/>
    </w:p>
    <w:p w14:paraId="699647C5">
      <w:pPr>
        <w:widowControl/>
        <w:overflowPunct w:val="0"/>
        <w:autoSpaceDE w:val="0"/>
        <w:autoSpaceDN w:val="0"/>
        <w:adjustRightInd w:val="0"/>
        <w:spacing w:line="360" w:lineRule="auto"/>
        <w:ind w:firstLine="560" w:firstLineChars="200"/>
        <w:textAlignment w:val="baseline"/>
        <w:outlineLvl w:val="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 xml:space="preserve">6.2 </w:t>
      </w:r>
      <w:r>
        <w:rPr>
          <w:rFonts w:ascii="Times New Roman" w:hAnsi="Times New Roman" w:eastAsia="仿宋" w:cs="Times New Roman"/>
          <w:color w:val="000000" w:themeColor="text1"/>
          <w:sz w:val="28"/>
          <w:szCs w:val="28"/>
          <w14:textFill>
            <w14:solidFill>
              <w14:schemeClr w14:val="tx1"/>
            </w14:solidFill>
          </w14:textFill>
        </w:rPr>
        <w:t>课题研究团队要求</w:t>
      </w:r>
    </w:p>
    <w:p w14:paraId="286E86B6">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项目团队应不少于</w:t>
      </w:r>
      <w:r>
        <w:rPr>
          <w:rFonts w:ascii="Times New Roman" w:hAnsi="Times New Roman" w:eastAsia="仿宋" w:cs="Times New Roman"/>
          <w:color w:val="000000" w:themeColor="text1"/>
          <w:sz w:val="28"/>
          <w:szCs w:val="28"/>
          <w14:textFill>
            <w14:solidFill>
              <w14:schemeClr w14:val="tx1"/>
            </w14:solidFill>
          </w14:textFill>
        </w:rPr>
        <w:t>10人，</w:t>
      </w:r>
      <w:r>
        <w:rPr>
          <w:rFonts w:hint="eastAsia" w:ascii="Times New Roman" w:hAnsi="Times New Roman" w:eastAsia="仿宋" w:cs="Times New Roman"/>
          <w:color w:val="000000" w:themeColor="text1"/>
          <w:sz w:val="28"/>
          <w:szCs w:val="28"/>
          <w14:textFill>
            <w14:solidFill>
              <w14:schemeClr w14:val="tx1"/>
            </w14:solidFill>
          </w14:textFill>
        </w:rPr>
        <w:t>确保项目实施有充足且专业的人员投入。团队构成应至少包括研究人员、项目与财务管理人员、环境社会风险管控人员等。</w:t>
      </w:r>
    </w:p>
    <w:p w14:paraId="2F43DB76">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项目团队应</w:t>
      </w:r>
      <w:r>
        <w:rPr>
          <w:rFonts w:ascii="Times New Roman" w:hAnsi="Times New Roman" w:eastAsia="仿宋" w:cs="Times New Roman"/>
          <w:color w:val="000000" w:themeColor="text1"/>
          <w:sz w:val="28"/>
          <w:szCs w:val="28"/>
          <w14:textFill>
            <w14:solidFill>
              <w14:schemeClr w14:val="tx1"/>
            </w14:solidFill>
          </w14:textFill>
        </w:rPr>
        <w:t>设置项目负责人，负责项目总体规划、任务部署</w:t>
      </w:r>
      <w:r>
        <w:rPr>
          <w:rFonts w:hint="eastAsia" w:ascii="Times New Roman" w:hAnsi="Times New Roman" w:eastAsia="仿宋" w:cs="Times New Roman"/>
          <w:color w:val="000000" w:themeColor="text1"/>
          <w:sz w:val="28"/>
          <w:szCs w:val="28"/>
          <w14:textFill>
            <w14:solidFill>
              <w14:schemeClr w14:val="tx1"/>
            </w14:solidFill>
          </w14:textFill>
        </w:rPr>
        <w:t>、</w:t>
      </w:r>
      <w:r>
        <w:rPr>
          <w:rFonts w:ascii="Times New Roman" w:hAnsi="Times New Roman" w:eastAsia="仿宋" w:cs="Times New Roman"/>
          <w:color w:val="000000" w:themeColor="text1"/>
          <w:sz w:val="28"/>
          <w:szCs w:val="28"/>
          <w14:textFill>
            <w14:solidFill>
              <w14:schemeClr w14:val="tx1"/>
            </w14:solidFill>
          </w14:textFill>
        </w:rPr>
        <w:t>进度把控</w:t>
      </w:r>
      <w:r>
        <w:rPr>
          <w:rFonts w:hint="eastAsia" w:ascii="Times New Roman" w:hAnsi="Times New Roman" w:eastAsia="仿宋" w:cs="Times New Roman"/>
          <w:color w:val="000000" w:themeColor="text1"/>
          <w:sz w:val="28"/>
          <w:szCs w:val="28"/>
          <w14:textFill>
            <w14:solidFill>
              <w14:schemeClr w14:val="tx1"/>
            </w14:solidFill>
          </w14:textFill>
        </w:rPr>
        <w:t>及成果质量</w:t>
      </w:r>
      <w:r>
        <w:rPr>
          <w:rFonts w:ascii="Times New Roman" w:hAnsi="Times New Roman" w:eastAsia="仿宋" w:cs="Times New Roman"/>
          <w:color w:val="000000" w:themeColor="text1"/>
          <w:sz w:val="28"/>
          <w:szCs w:val="28"/>
          <w14:textFill>
            <w14:solidFill>
              <w14:schemeClr w14:val="tx1"/>
            </w14:solidFill>
          </w14:textFill>
        </w:rPr>
        <w:t>等工作，</w:t>
      </w:r>
      <w:r>
        <w:rPr>
          <w:rFonts w:hint="eastAsia" w:ascii="Times New Roman" w:hAnsi="Times New Roman" w:eastAsia="仿宋" w:cs="Times New Roman"/>
          <w:color w:val="000000" w:themeColor="text1"/>
          <w:sz w:val="28"/>
          <w:szCs w:val="28"/>
          <w14:textFill>
            <w14:solidFill>
              <w14:schemeClr w14:val="tx1"/>
            </w14:solidFill>
          </w14:textFill>
        </w:rPr>
        <w:t>且应具备以下条件：</w:t>
      </w:r>
    </w:p>
    <w:p w14:paraId="67ADB994">
      <w:pPr>
        <w:numPr>
          <w:ilvl w:val="0"/>
          <w:numId w:val="7"/>
        </w:numPr>
        <w:adjustRightInd w:val="0"/>
        <w:snapToGrid w:val="0"/>
        <w:spacing w:line="360" w:lineRule="auto"/>
        <w:ind w:firstLine="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在碳市场、</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行业碳排放管理、环境政策或能源经济等领域具有5年以上研究或政策咨询经验；或作为项目负责人，承担过至少1项国家部委或省级政府委托的碳市场、</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行业配额管理或MRV体系相关研究项目。</w:t>
      </w:r>
    </w:p>
    <w:p w14:paraId="3176DD22">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sz w:val="28"/>
          <w:szCs w:val="28"/>
        </w:rPr>
        <w:t>项目团队应配备与工作大纲内容相符的研究人员，以支撑全部工作任务的完成，项目研究团队人员构成应满足以下条件：</w:t>
      </w:r>
    </w:p>
    <w:p w14:paraId="10843B6A">
      <w:pPr>
        <w:numPr>
          <w:ilvl w:val="0"/>
          <w:numId w:val="7"/>
        </w:numPr>
        <w:adjustRightInd w:val="0"/>
        <w:snapToGrid w:val="0"/>
        <w:spacing w:line="360" w:lineRule="auto"/>
        <w:ind w:firstLine="0"/>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b/>
          <w:bCs/>
          <w:sz w:val="28"/>
          <w:szCs w:val="28"/>
        </w:rPr>
        <w:t>纸浆和造纸</w:t>
      </w:r>
      <w:r>
        <w:rPr>
          <w:rFonts w:hint="eastAsia" w:ascii="Times New Roman" w:hAnsi="Times New Roman" w:eastAsia="仿宋" w:cs="Times New Roman"/>
          <w:b/>
          <w:bCs/>
          <w:color w:val="000000" w:themeColor="text1"/>
          <w:sz w:val="28"/>
          <w:szCs w:val="28"/>
          <w14:textFill>
            <w14:solidFill>
              <w14:schemeClr w14:val="tx1"/>
            </w14:solidFill>
          </w14:textFill>
        </w:rPr>
        <w:t>行业配额管理研究方向</w:t>
      </w:r>
    </w:p>
    <w:p w14:paraId="57577D40">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在碳排放权交易或</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行业经济政策领域具有3年以上工作经验，或曾以主要技术人员身份承担过</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行业配额分配方案相关项目；</w:t>
      </w:r>
    </w:p>
    <w:p w14:paraId="1FA4F295">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熟悉全国碳排放权交易市场配额分配机制（包括基准线法、行业平衡值、总量控制路径等），具备系统性梳理和评估能力。</w:t>
      </w:r>
    </w:p>
    <w:p w14:paraId="206B9980">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sz w:val="28"/>
          <w:szCs w:val="28"/>
        </w:rPr>
        <w:t>纸浆和造纸</w:t>
      </w:r>
      <w:r>
        <w:rPr>
          <w:rFonts w:hint="eastAsia" w:ascii="Times New Roman" w:hAnsi="Times New Roman" w:eastAsia="仿宋" w:cs="Times New Roman"/>
          <w:b/>
          <w:bCs/>
          <w:color w:val="000000" w:themeColor="text1"/>
          <w:sz w:val="28"/>
          <w:szCs w:val="28"/>
          <w14:textFill>
            <w14:solidFill>
              <w14:schemeClr w14:val="tx1"/>
            </w14:solidFill>
          </w14:textFill>
        </w:rPr>
        <w:t>行业MRV体系研究方向</w:t>
      </w:r>
    </w:p>
    <w:p w14:paraId="2B07675A">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在碳排放核算、报告与核查领域具有3年以上工作经验，或曾以主要技术人员身份参与过</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行业MRV指南修订或核查技术规范制定项目；</w:t>
      </w:r>
    </w:p>
    <w:p w14:paraId="74FB2D9D">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熟悉《</w:t>
      </w:r>
      <w:r>
        <w:rPr>
          <w:rFonts w:hint="eastAsia" w:ascii="Times New Roman" w:hAnsi="Times New Roman" w:eastAsia="仿宋" w:cs="Times New Roman"/>
          <w:sz w:val="28"/>
          <w:szCs w:val="28"/>
        </w:rPr>
        <w:t>造纸和纸制品生产企业温室气体排放核算方法与报告指南（试行）</w:t>
      </w:r>
      <w:r>
        <w:rPr>
          <w:rFonts w:hint="eastAsia" w:ascii="Times New Roman" w:hAnsi="Times New Roman" w:eastAsia="仿宋" w:cs="Times New Roman"/>
          <w:color w:val="000000" w:themeColor="text1"/>
          <w:sz w:val="28"/>
          <w:szCs w:val="28"/>
          <w14:textFill>
            <w14:solidFill>
              <w14:schemeClr w14:val="tx1"/>
            </w14:solidFill>
          </w14:textFill>
        </w:rPr>
        <w:t>》及核查相关技术规范，能够诊断核算难点和数据质量薄弱环节。</w:t>
      </w:r>
    </w:p>
    <w:p w14:paraId="0D59EF08">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国际经验对比分析方向</w:t>
      </w:r>
    </w:p>
    <w:p w14:paraId="64F107D0">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在国际碳市场或</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行业碳管理政策研究领域具有3年以上工作经验，具备以英文开展研究工作的能力；</w:t>
      </w:r>
    </w:p>
    <w:p w14:paraId="4452654A">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熟悉国际主要碳市场（如欧盟ETS、韩国ETS等）</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行业配额管理及MRV体系的制度设计与实践经验。</w:t>
      </w:r>
    </w:p>
    <w:p w14:paraId="552C02DE">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企业诉求调研与数据分析方向</w:t>
      </w:r>
    </w:p>
    <w:p w14:paraId="4E062F6F">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在</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行业企业调研、数据收集与分析领域具有3年以上工作经历，或曾以主要技术人员身份参与过</w:t>
      </w:r>
      <w:r>
        <w:rPr>
          <w:rFonts w:hint="eastAsia" w:ascii="Times New Roman" w:hAnsi="Times New Roman" w:eastAsia="仿宋" w:cs="Times New Roman"/>
          <w:sz w:val="28"/>
          <w:szCs w:val="28"/>
        </w:rPr>
        <w:t>纸浆和造纸</w:t>
      </w:r>
      <w:r>
        <w:rPr>
          <w:rFonts w:hint="eastAsia" w:ascii="Times New Roman" w:hAnsi="Times New Roman" w:eastAsia="仿宋" w:cs="Times New Roman"/>
          <w:color w:val="000000" w:themeColor="text1"/>
          <w:sz w:val="28"/>
          <w:szCs w:val="28"/>
          <w14:textFill>
            <w14:solidFill>
              <w14:schemeClr w14:val="tx1"/>
            </w14:solidFill>
          </w14:textFill>
        </w:rPr>
        <w:t>企业碳排放数据统计分析或问卷调研项目；</w:t>
      </w:r>
    </w:p>
    <w:p w14:paraId="34D560FA">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具备设计问卷、组织调研访谈、处理企业级碳排放数据的能力。</w:t>
      </w:r>
    </w:p>
    <w:p w14:paraId="02A4536C">
      <w:pPr>
        <w:numPr>
          <w:ilvl w:val="0"/>
          <w:numId w:val="7"/>
        </w:numPr>
        <w:adjustRightInd w:val="0"/>
        <w:snapToGrid w:val="0"/>
        <w:spacing w:line="360" w:lineRule="auto"/>
        <w:ind w:firstLine="0"/>
        <w:rPr>
          <w:rFonts w:ascii="Times New Roman" w:hAnsi="Times New Roman" w:eastAsia="仿宋" w:cs="Times New Roman"/>
          <w:b/>
          <w:bCs/>
          <w:color w:val="000000" w:themeColor="text1"/>
          <w:sz w:val="28"/>
          <w:szCs w:val="28"/>
          <w14:textFill>
            <w14:solidFill>
              <w14:schemeClr w14:val="tx1"/>
            </w14:solidFill>
          </w14:textFill>
        </w:rPr>
      </w:pPr>
      <w:r>
        <w:rPr>
          <w:rFonts w:hint="eastAsia" w:ascii="Times New Roman" w:hAnsi="Times New Roman" w:eastAsia="仿宋" w:cs="Times New Roman"/>
          <w:b/>
          <w:bCs/>
          <w:color w:val="000000" w:themeColor="text1"/>
          <w:sz w:val="28"/>
          <w:szCs w:val="28"/>
          <w14:textFill>
            <w14:solidFill>
              <w14:schemeClr w14:val="tx1"/>
            </w14:solidFill>
          </w14:textFill>
        </w:rPr>
        <w:t>其他辅助研究人员</w:t>
      </w:r>
    </w:p>
    <w:p w14:paraId="001A83EE">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根据研究工作实际需要，配备在相关研究领域具有2年以上工作经验的成员；</w:t>
      </w:r>
    </w:p>
    <w:p w14:paraId="37C7D704">
      <w:pPr>
        <w:numPr>
          <w:ilvl w:val="2"/>
          <w:numId w:val="7"/>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具备承担资料收集、数据分析、报告撰写、会议组织等技术支持工作的能力。</w:t>
      </w:r>
    </w:p>
    <w:p w14:paraId="53FF8B66">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项目团队还应配备了解世界银行或多边国际组织环境社会背景或具有相关环境社会影响与风险管理经验的环境专家和社会专家各1人，按照世界银行《环境和社会框架》（ESF）政策要求，识别、评估本咨询服务活动涉及的潜在环境和社会风险及影响，提出相应的处置和缓解措施建议；负责各交付成果中环境与社会影响分析章节的撰写；协助制定并实施信息公开计划及公众参与计划；接受项目管理办公室所聘请的环境社会专家的监督和指导。</w:t>
      </w:r>
    </w:p>
    <w:p w14:paraId="0704FF63">
      <w:pPr>
        <w:numPr>
          <w:ilvl w:val="0"/>
          <w:numId w:val="6"/>
        </w:numPr>
        <w:adjustRightInd w:val="0"/>
        <w:snapToGrid w:val="0"/>
        <w:spacing w:line="360" w:lineRule="auto"/>
        <w:rPr>
          <w:rFonts w:ascii="Times New Roman" w:hAnsi="Times New Roman" w:eastAsia="仿宋" w:cs="Times New Roman"/>
          <w:color w:val="000000" w:themeColor="text1"/>
          <w:sz w:val="28"/>
          <w:szCs w:val="28"/>
          <w14:textFill>
            <w14:solidFill>
              <w14:schemeClr w14:val="tx1"/>
            </w14:solidFill>
          </w14:textFill>
        </w:rPr>
      </w:pPr>
      <w:r>
        <w:rPr>
          <w:rFonts w:hint="eastAsia" w:ascii="Times New Roman" w:hAnsi="Times New Roman" w:eastAsia="仿宋" w:cs="Times New Roman"/>
          <w:color w:val="000000" w:themeColor="text1"/>
          <w:sz w:val="28"/>
          <w:szCs w:val="28"/>
          <w14:textFill>
            <w14:solidFill>
              <w14:schemeClr w14:val="tx1"/>
            </w14:solidFill>
          </w14:textFill>
        </w:rPr>
        <w:t>项目团队需配备财务管理</w:t>
      </w:r>
      <w:r>
        <w:rPr>
          <w:rFonts w:ascii="Times New Roman" w:hAnsi="Times New Roman" w:eastAsia="仿宋" w:cs="Times New Roman"/>
          <w:color w:val="000000" w:themeColor="text1"/>
          <w:sz w:val="28"/>
          <w:szCs w:val="28"/>
          <w14:textFill>
            <w14:solidFill>
              <w14:schemeClr w14:val="tx1"/>
            </w14:solidFill>
          </w14:textFill>
        </w:rPr>
        <w:t>1</w:t>
      </w:r>
      <w:r>
        <w:rPr>
          <w:rFonts w:hint="eastAsia" w:ascii="Times New Roman" w:hAnsi="Times New Roman" w:eastAsia="仿宋" w:cs="Times New Roman"/>
          <w:color w:val="000000" w:themeColor="text1"/>
          <w:sz w:val="28"/>
          <w:szCs w:val="28"/>
          <w14:textFill>
            <w14:solidFill>
              <w14:schemeClr w14:val="tx1"/>
            </w14:solidFill>
          </w14:textFill>
        </w:rPr>
        <w:t>人，按照世界银行相关政策要求，负责本项目财务日常管理、编制项目财务报告，并配合提交项目监督管理及审计所需的所有资料。</w:t>
      </w:r>
    </w:p>
    <w:p w14:paraId="2E50901C">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七、环境社会风险要求</w:t>
      </w:r>
    </w:p>
    <w:p w14:paraId="58C0EE05">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本咨询服务分包项目的设计和实施，应依据世界银行《环境和社会管理框架》及世界银行的《技术援助与环境社会框架指南》中的相关要求，按照项目的《环境社会管理框架》中制定的环境社会管理程序对分包任务所涉及的潜在环境和社会风险及影响进行筛选/分析和评价，并提出应对措施和建议，确保项目活动及产出符合项目制定的环境和社会管理框架（ESMF）、环境和社会承诺计划（ESCP）及利益相关方参与计划（SEP）的相关要求。</w:t>
      </w:r>
    </w:p>
    <w:p w14:paraId="7FBAABA5">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根据项目管理办公室所聘请的环境社会专家的意见，确定本分包任务所需要准备的环境、社会文件的类型及要求（文件类型指的是根据研究课题的类型准备相应文件）。</w:t>
      </w:r>
    </w:p>
    <w:p w14:paraId="7235E16C">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按照世行《技术援助与环境社会框架指南》确定是否需要编制单独的环境社会评价文件包括规划评价或战略评价报告，还是可以仅作为研究报告的一个章节。</w:t>
      </w:r>
    </w:p>
    <w:p w14:paraId="50C69673">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在环境社会专家的指导下，根据本项目活动所涉及的环境社会风险类型，并结合项目活动本身需要，召开项目利益相关方磋商会、咨询会、培训会、宣贯会及研讨会等，制定并实施信息公开计划及公众参与计划；同时根据要求，参加世界银行及项目管理办公室组织的相关环境社会风险类会议。</w:t>
      </w:r>
    </w:p>
    <w:p w14:paraId="5282BC8C">
      <w:pPr>
        <w:ind w:firstLine="420" w:firstLineChars="150"/>
        <w:rPr>
          <w:rFonts w:ascii="Times New Roman" w:hAnsi="Times New Roman" w:eastAsia="仿宋" w:cs="Times New Roman"/>
          <w:sz w:val="28"/>
          <w:szCs w:val="28"/>
        </w:rPr>
      </w:pPr>
      <w:r>
        <w:rPr>
          <w:rFonts w:hint="eastAsia" w:ascii="Times New Roman" w:hAnsi="Times New Roman" w:eastAsia="仿宋" w:cs="Times New Roman"/>
          <w:sz w:val="28"/>
          <w:szCs w:val="28"/>
        </w:rPr>
        <w:t>根据项目管理办公室的要求，每半年提供本分包项目在环境社会风险方面所开展的工作进展，并接受项目管理办公室及其所聘请环境社会专家的监督和指导。</w:t>
      </w:r>
    </w:p>
    <w:p w14:paraId="549AB8C4">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所有交付成果须包含不少于一（1）页的专项环境与社会影响分析章节，内容须完整涵盖以下要素：</w:t>
      </w:r>
    </w:p>
    <w:p w14:paraId="4C2A3ECB">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（1）下游影响识别：识别并分析本交付成果所提出的政策建议、技术指南或制度方案在被后续采纳和实施后，可能对区域环境、行业生产、相关社区就业及民生等方面产生的间接影响和长远风险；</w:t>
      </w:r>
    </w:p>
    <w:p w14:paraId="60F738AF">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（2）弱势群体影响分析：在下游影响识别的基础上，专项评估上述政策或技术变化对弱势群体（包括但不限于低收入群体、受碳市场政策影响的特定行业从业人员及其家属）可能造成的差异性影响；</w:t>
      </w:r>
    </w:p>
    <w:p w14:paraId="5D80A37C">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（3）缓解措施建议：针对已识别的下游影响和弱势群体风险，提出具体、可操作的缓解和应对措施建议。</w:t>
      </w:r>
    </w:p>
    <w:p w14:paraId="5837C22F">
      <w:pPr>
        <w:spacing w:before="156" w:beforeLines="50" w:after="156" w:afterLines="50"/>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上述章节的篇幅应与交付成果所涉及议题的复杂程度相适应，原则上不少于一（1）页，如研究内容涉及重大政策调整或显著社会影响，应适当增加篇幅或根据项目管理办公室环境社会专家的意见决定是否编制独立的环境社会评价文件。</w:t>
      </w:r>
    </w:p>
    <w:p w14:paraId="5837C230">
      <w:pPr>
        <w:pStyle w:val="3"/>
        <w:numPr>
          <w:ilvl w:val="0"/>
          <w:numId w:val="0"/>
        </w:numPr>
        <w:rPr>
          <w:rFonts w:ascii="Times New Roman" w:hAnsi="Times New Roman" w:eastAsia="仿宋" w:cs="Times New Roman"/>
          <w:b/>
          <w:bCs/>
          <w:sz w:val="28"/>
          <w:szCs w:val="28"/>
        </w:rPr>
      </w:pPr>
      <w:r>
        <w:rPr>
          <w:rFonts w:hint="eastAsia" w:ascii="Times New Roman" w:hAnsi="Times New Roman" w:eastAsia="仿宋" w:cs="Times New Roman"/>
          <w:b/>
          <w:bCs/>
          <w:sz w:val="28"/>
          <w:szCs w:val="28"/>
        </w:rPr>
        <w:t>八、采购方式</w:t>
      </w:r>
    </w:p>
    <w:p w14:paraId="5837C231">
      <w:pPr>
        <w:spacing w:before="156" w:beforeLines="50" w:after="156" w:afterLines="50"/>
        <w:ind w:firstLine="560" w:firstLineChars="200"/>
        <w:rPr>
          <w:rFonts w:ascii="Times New Roman" w:hAnsi="Times New Roman" w:eastAsia="仿宋" w:cs="Times New Roman"/>
          <w:sz w:val="28"/>
          <w:szCs w:val="28"/>
        </w:rPr>
      </w:pPr>
      <w:r>
        <w:rPr>
          <w:rFonts w:ascii="Times New Roman" w:hAnsi="Times New Roman" w:eastAsia="仿宋" w:cs="Times New Roman"/>
          <w:sz w:val="28"/>
          <w:szCs w:val="28"/>
        </w:rPr>
        <w:t>本项目分包工作任务拟采用基于咨询顾问资历的选择（CQS）方式进行采购。</w:t>
      </w:r>
    </w:p>
    <w:p w14:paraId="5CCB6F11">
      <w:pPr>
        <w:pStyle w:val="2"/>
        <w:ind w:firstLine="0" w:firstLineChars="0"/>
        <w:rPr>
          <w:rFonts w:ascii="Times New Roman" w:hAnsi="Times New Roman" w:eastAsia="仿宋" w:cs="Times New Roman"/>
          <w:sz w:val="28"/>
          <w:szCs w:val="28"/>
        </w:rPr>
      </w:pPr>
    </w:p>
    <w:sectPr>
      <w:footerReference r:id="rId6" w:type="first"/>
      <w:footerReference r:id="rId4" w:type="default"/>
      <w:footerReference r:id="rId5"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FFFC3376-965D-C061-0D8A-686AB9E91A75}"/>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embedRegular r:id="rId2" w:fontKey="{8B37B070-F962-9A55-0D8A-686A5722B77C}"/>
  </w:font>
  <w:font w:name="Segoe UI">
    <w:panose1 w:val="020B0502040204020203"/>
    <w:charset w:val="00"/>
    <w:family w:val="swiss"/>
    <w:pitch w:val="default"/>
    <w:sig w:usb0="E4002EFF" w:usb1="C000E47F" w:usb2="00000009" w:usb3="00000000" w:csb0="200001FF" w:csb1="00000000"/>
    <w:embedRegular r:id="rId3" w:fontKey="{DBF3351F-6418-7A5D-0D8A-686A2EB24C7E}"/>
  </w:font>
  <w:font w:name="仿宋_GB2312">
    <w:altName w:val="方正仿宋_GBK"/>
    <w:panose1 w:val="02010609030101010101"/>
    <w:charset w:val="86"/>
    <w:family w:val="modern"/>
    <w:pitch w:val="default"/>
    <w:sig w:usb0="00000000" w:usb1="00000000" w:usb2="00000000" w:usb3="00000000" w:csb0="00040000" w:csb1="00000000"/>
  </w:font>
  <w:font w:name="Aptos">
    <w:altName w:val="Helvetica Neue"/>
    <w:panose1 w:val="020B0004020202020204"/>
    <w:charset w:val="00"/>
    <w:family w:val="swiss"/>
    <w:pitch w:val="default"/>
    <w:sig w:usb0="00000000" w:usb1="00000000" w:usb2="00000000" w:usb3="00000000" w:csb0="2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7C236">
    <w:pPr>
      <w:pStyle w:val="7"/>
    </w:pPr>
    <w:r>
      <mc:AlternateContent>
        <mc:Choice Requires="wps">
          <w:drawing>
            <wp:anchor distT="0" distB="0" distL="0" distR="0" simplePos="0" relativeHeight="251660288" behindDoc="0" locked="0" layoutInCell="1" allowOverlap="1">
              <wp:simplePos x="0" y="0"/>
              <wp:positionH relativeFrom="page">
                <wp:align>right</wp:align>
              </wp:positionH>
              <wp:positionV relativeFrom="page">
                <wp:align>bottom</wp:align>
              </wp:positionV>
              <wp:extent cx="1170305" cy="345440"/>
              <wp:effectExtent l="0" t="0" r="0" b="0"/>
              <wp:wrapNone/>
              <wp:docPr id="12884464" name="Text Box 3"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18B75CBC">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3" o:spid="_x0000_s1026" o:spt="202" alt="Official Use Only" type="#_x0000_t202" style="position:absolute;left:0pt;height:27.2pt;width:92.15pt;mso-position-horizontal:right;mso-position-horizontal-relative:page;mso-position-vertical:bottom;mso-position-vertical-relative:page;mso-wrap-style:none;z-index:251660288;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LiS921QAAAAQBAAAPAAAAAAAAAAEAIAAAACIAAABkcnMvZG93&#10;bnJldi54bWxQSwECFAAUAAAACACHTuJAqJCHDjwCAAB1BAAADgAAAAAAAAABACAAAAAkAQAAZHJz&#10;L2Uyb0RvYy54bWxQSwUGAAAAAAYABgBZAQAA0gUAAAAA&#10;">
              <v:fill on="f" focussize="0,0"/>
              <v:stroke on="f"/>
              <v:imagedata o:title=""/>
              <o:lock v:ext="edit" aspectratio="f"/>
              <v:textbox inset="0mm,0mm,20pt,15pt" style="mso-fit-shape-to-text:t;">
                <w:txbxContent>
                  <w:p w14:paraId="18B75CBC">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37C23D">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837C23D">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2F673">
    <w:pPr>
      <w:pStyle w:val="7"/>
    </w:pPr>
    <w:r>
      <mc:AlternateContent>
        <mc:Choice Requires="wps">
          <w:drawing>
            <wp:anchor distT="0" distB="0" distL="0" distR="0" simplePos="0" relativeHeight="251661312" behindDoc="0" locked="0" layoutInCell="1" allowOverlap="1">
              <wp:simplePos x="0" y="0"/>
              <wp:positionH relativeFrom="page">
                <wp:align>right</wp:align>
              </wp:positionH>
              <wp:positionV relativeFrom="page">
                <wp:align>bottom</wp:align>
              </wp:positionV>
              <wp:extent cx="1170305" cy="345440"/>
              <wp:effectExtent l="0" t="0" r="0" b="0"/>
              <wp:wrapNone/>
              <wp:docPr id="1169185202" name="Text Box 2"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3D3CAD8D">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2" o:spid="_x0000_s1026" o:spt="202" alt="Official Use Only" type="#_x0000_t202" style="position:absolute;left:0pt;height:27.2pt;width:92.15pt;mso-position-horizontal:right;mso-position-horizontal-relative:page;mso-position-vertical:bottom;mso-position-vertical-relative:page;mso-wrap-style:none;z-index:251661312;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LiS921QAAAAQBAAAPAAAAAAAAAAEAIAAAACIAAABkcnMvZG93&#10;bnJldi54bWxQSwECFAAUAAAACACHTuJA9of3kjwCAAB3BAAADgAAAAAAAAABACAAAAAkAQAAZHJz&#10;L2Uyb0RvYy54bWxQSwUGAAAAAAYABgBZAQAA0gUAAAAA&#10;">
              <v:fill on="f" focussize="0,0"/>
              <v:stroke on="f"/>
              <v:imagedata o:title=""/>
              <o:lock v:ext="edit" aspectratio="f"/>
              <v:textbox inset="0mm,0mm,20pt,15pt" style="mso-fit-shape-to-text:t;">
                <w:txbxContent>
                  <w:p w14:paraId="3D3CAD8D">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A267F">
    <w:pPr>
      <w:pStyle w:val="7"/>
    </w:pPr>
    <w:r>
      <mc:AlternateContent>
        <mc:Choice Requires="wps">
          <w:drawing>
            <wp:anchor distT="0" distB="0" distL="0" distR="0" simplePos="0" relativeHeight="251662336" behindDoc="0" locked="0" layoutInCell="1" allowOverlap="1">
              <wp:simplePos x="0" y="0"/>
              <wp:positionH relativeFrom="page">
                <wp:align>right</wp:align>
              </wp:positionH>
              <wp:positionV relativeFrom="page">
                <wp:align>bottom</wp:align>
              </wp:positionV>
              <wp:extent cx="1170305" cy="345440"/>
              <wp:effectExtent l="0" t="0" r="0" b="0"/>
              <wp:wrapNone/>
              <wp:docPr id="1445556894" name="Text Box 1" descr="Official Use Only"/>
              <wp:cNvGraphicFramePr/>
              <a:graphic xmlns:a="http://schemas.openxmlformats.org/drawingml/2006/main">
                <a:graphicData uri="http://schemas.microsoft.com/office/word/2010/wordprocessingShape">
                  <wps:wsp>
                    <wps:cNvSpPr txBox="1"/>
                    <wps:spPr>
                      <a:xfrm>
                        <a:off x="0" y="0"/>
                        <a:ext cx="1170305" cy="345440"/>
                      </a:xfrm>
                      <a:prstGeom prst="rect">
                        <a:avLst/>
                      </a:prstGeom>
                      <a:noFill/>
                      <a:ln>
                        <a:noFill/>
                      </a:ln>
                    </wps:spPr>
                    <wps:txbx>
                      <w:txbxContent>
                        <w:p w14:paraId="74AF1AE9">
                          <w:pPr>
                            <w:rPr>
                              <w:rFonts w:ascii="Aptos" w:hAnsi="Aptos" w:eastAsia="Aptos" w:cs="Aptos"/>
                              <w:color w:val="000000"/>
                              <w:sz w:val="20"/>
                              <w:szCs w:val="20"/>
                            </w:rPr>
                          </w:pPr>
                          <w:r>
                            <w:rPr>
                              <w:rFonts w:ascii="Aptos" w:hAnsi="Aptos" w:eastAsia="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spAutoFit/>
                    </wps:bodyPr>
                  </wps:wsp>
                </a:graphicData>
              </a:graphic>
            </wp:anchor>
          </w:drawing>
        </mc:Choice>
        <mc:Fallback>
          <w:pict>
            <v:shape id="Text Box 1" o:spid="_x0000_s1026" o:spt="202" alt="Official Use Only" type="#_x0000_t202" style="position:absolute;left:0pt;height:27.2pt;width:92.15pt;mso-position-horizontal:right;mso-position-horizontal-relative:page;mso-position-vertical:bottom;mso-position-vertical-relative:page;mso-wrap-style:none;z-index:251662336;v-text-anchor:bottom;mso-width-relative:page;mso-height-relative:page;" filled="f" stroked="f" coordsize="21600,21600" o:gfxdata="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4kvdtUAAAAEAQAADwAAAAAAAAABACAAAAAiAAAAZHJzL2Rv&#10;d25yZXYueG1sUEsBAhQAFAAAAAgAh07iQHE3yr89AgAAdwQAAA4AAAAAAAAAAQAgAAAAJAEAAGRy&#10;cy9lMm9Eb2MueG1sUEsFBgAAAAAGAAYAWQEAANMFAAAAAA==&#10;">
              <v:fill on="f" focussize="0,0"/>
              <v:stroke on="f"/>
              <v:imagedata o:title=""/>
              <o:lock v:ext="edit" aspectratio="f"/>
              <v:textbox inset="0mm,0mm,20pt,15pt" style="mso-fit-shape-to-text:t;">
                <w:txbxContent>
                  <w:p w14:paraId="74AF1AE9">
                    <w:pPr>
                      <w:rPr>
                        <w:rFonts w:ascii="Aptos" w:hAnsi="Aptos" w:eastAsia="Aptos" w:cs="Aptos"/>
                        <w:color w:val="000000"/>
                        <w:sz w:val="20"/>
                        <w:szCs w:val="20"/>
                      </w:rPr>
                    </w:pPr>
                    <w:r>
                      <w:rPr>
                        <w:rFonts w:ascii="Aptos" w:hAnsi="Aptos" w:eastAsia="Aptos" w:cs="Aptos"/>
                        <w:color w:val="000000"/>
                        <w:sz w:val="20"/>
                        <w:szCs w:val="20"/>
                      </w:rPr>
                      <w:t>Official Use Only</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5837C239">
      <w:pPr>
        <w:pStyle w:val="9"/>
      </w:pPr>
      <w:r>
        <w:rPr>
          <w:rStyle w:val="17"/>
        </w:rPr>
        <w:footnoteRef/>
      </w:r>
      <w:r>
        <w:t xml:space="preserve"> </w:t>
      </w:r>
      <w:r>
        <w:rPr>
          <w:rFonts w:hint="eastAsia" w:ascii="Times New Roman" w:hAnsi="Times New Roman"/>
        </w:rPr>
        <w:t>PMI-3分包任务旨在研究扩大ETS行业覆盖范围及完善国家ETS配额体系。</w:t>
      </w:r>
    </w:p>
  </w:footnote>
  <w:footnote w:id="1">
    <w:p w14:paraId="5837C23A">
      <w:pPr>
        <w:pStyle w:val="9"/>
      </w:pPr>
      <w:r>
        <w:rPr>
          <w:rStyle w:val="17"/>
        </w:rPr>
        <w:footnoteRef/>
      </w:r>
      <w:r>
        <w:t xml:space="preserve"> </w:t>
      </w:r>
      <w:r>
        <w:rPr>
          <w:rFonts w:ascii="Times New Roman" w:hAnsi="Times New Roman" w:cs="Segoe UI"/>
          <w:color w:val="0F1115"/>
          <w:szCs w:val="18"/>
          <w:shd w:val="clear" w:color="auto" w:fill="FFFFFF"/>
        </w:rPr>
        <w:t>PMI‑4分包</w:t>
      </w:r>
      <w:r>
        <w:rPr>
          <w:rFonts w:hint="eastAsia" w:ascii="Times New Roman" w:hAnsi="Times New Roman" w:cs="Segoe UI"/>
          <w:color w:val="0F1115"/>
          <w:szCs w:val="18"/>
          <w:shd w:val="clear" w:color="auto" w:fill="FFFFFF"/>
        </w:rPr>
        <w:t>任务</w:t>
      </w:r>
      <w:r>
        <w:rPr>
          <w:rFonts w:ascii="Times New Roman" w:hAnsi="Times New Roman" w:cs="Segoe UI"/>
          <w:color w:val="0F1115"/>
          <w:szCs w:val="18"/>
          <w:shd w:val="clear" w:color="auto" w:fill="FFFFFF"/>
        </w:rPr>
        <w:t>旨在研究提升ETS监管能力与加强数据管理平台建设、CCER制度实施效果评估及优化相关技术</w:t>
      </w:r>
      <w:r>
        <w:rPr>
          <w:rFonts w:hint="eastAsia" w:ascii="Times New Roman" w:hAnsi="Times New Roman" w:cs="Segoe UI"/>
          <w:color w:val="0F1115"/>
          <w:szCs w:val="18"/>
          <w:shd w:val="clear" w:color="auto" w:fill="FFFFFF"/>
        </w:rPr>
        <w:t>。</w:t>
      </w:r>
    </w:p>
  </w:footnote>
  <w:footnote w:id="2">
    <w:p w14:paraId="5837C23B">
      <w:pPr>
        <w:pStyle w:val="9"/>
      </w:pPr>
      <w:r>
        <w:rPr>
          <w:rStyle w:val="17"/>
        </w:rPr>
        <w:footnoteRef/>
      </w:r>
      <w:r>
        <w:t xml:space="preserve"> </w:t>
      </w:r>
      <w:r>
        <w:rPr>
          <w:rFonts w:hint="eastAsia" w:ascii="Times New Roman" w:hAnsi="Times New Roman"/>
        </w:rPr>
        <w:t>PMI-17分包任务旨在通过开展检查、开发培训材料、监督咨询/检测/核查技术服务机构、修订方法学或指南等方式加强ETS和CCER的MRV监督与管理。</w:t>
      </w:r>
    </w:p>
  </w:footnote>
  <w:footnote w:id="3">
    <w:p w14:paraId="15B1F8C1">
      <w:pPr>
        <w:pStyle w:val="9"/>
      </w:pPr>
      <w:r>
        <w:rPr>
          <w:rStyle w:val="17"/>
        </w:rPr>
        <w:footnoteRef/>
      </w:r>
      <w:r>
        <w:t xml:space="preserve"> </w:t>
      </w:r>
      <w:r>
        <w:rPr>
          <w:rFonts w:hint="eastAsia" w:ascii="Times New Roman" w:hAnsi="Times New Roman" w:eastAsia="宋体" w:cs="Times New Roman"/>
          <w:szCs w:val="18"/>
        </w:rPr>
        <w:t>中国市场伙伴实施基金赠款项目（P504267）的项目文件。</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E7B6"/>
    <w:multiLevelType w:val="singleLevel"/>
    <w:tmpl w:val="BCD2E7B6"/>
    <w:lvl w:ilvl="0" w:tentative="0">
      <w:start w:val="1"/>
      <w:numFmt w:val="chineseCounting"/>
      <w:pStyle w:val="3"/>
      <w:suff w:val="nothing"/>
      <w:lvlText w:val="%1、"/>
      <w:lvlJc w:val="left"/>
      <w:pPr>
        <w:ind w:left="630"/>
      </w:pPr>
      <w:rPr>
        <w:rFonts w:hint="eastAsia" w:ascii="仿宋" w:hAnsi="仿宋" w:eastAsia="仿宋" w:cs="黑体"/>
      </w:rPr>
    </w:lvl>
  </w:abstractNum>
  <w:abstractNum w:abstractNumId="1">
    <w:nsid w:val="BFFE5842"/>
    <w:multiLevelType w:val="singleLevel"/>
    <w:tmpl w:val="BFFE5842"/>
    <w:lvl w:ilvl="0" w:tentative="0">
      <w:start w:val="1"/>
      <w:numFmt w:val="lowerLetter"/>
      <w:lvlText w:val="%1."/>
      <w:lvlJc w:val="left"/>
      <w:pPr>
        <w:tabs>
          <w:tab w:val="left" w:pos="420"/>
        </w:tabs>
        <w:ind w:left="845" w:hanging="425"/>
      </w:pPr>
      <w:rPr>
        <w:rFonts w:hint="default"/>
      </w:rPr>
    </w:lvl>
  </w:abstractNum>
  <w:abstractNum w:abstractNumId="2">
    <w:nsid w:val="F79F99E7"/>
    <w:multiLevelType w:val="multilevel"/>
    <w:tmpl w:val="F79F99E7"/>
    <w:lvl w:ilvl="0" w:tentative="0">
      <w:start w:val="1"/>
      <w:numFmt w:val="bullet"/>
      <w:lvlText w:val=""/>
      <w:lvlJc w:val="left"/>
      <w:pPr>
        <w:tabs>
          <w:tab w:val="left" w:pos="840"/>
        </w:tabs>
        <w:ind w:left="1260" w:hanging="420"/>
      </w:pPr>
      <w:rPr>
        <w:rFonts w:hint="default" w:ascii="Wingdings" w:hAnsi="Wingdings"/>
        <w:b w:val="0"/>
        <w:bCs w:val="0"/>
      </w:rPr>
    </w:lvl>
    <w:lvl w:ilvl="1" w:tentative="0">
      <w:start w:val="1"/>
      <w:numFmt w:val="bullet"/>
      <w:lvlText w:val=""/>
      <w:lvlJc w:val="left"/>
      <w:pPr>
        <w:tabs>
          <w:tab w:val="left" w:pos="840"/>
        </w:tabs>
        <w:ind w:left="1680" w:hanging="420"/>
      </w:pPr>
      <w:rPr>
        <w:rFonts w:hint="default" w:ascii="Wingdings" w:hAnsi="Wingdings"/>
      </w:rPr>
    </w:lvl>
    <w:lvl w:ilvl="2" w:tentative="0">
      <w:start w:val="1"/>
      <w:numFmt w:val="bullet"/>
      <w:lvlText w:val=""/>
      <w:lvlJc w:val="left"/>
      <w:pPr>
        <w:tabs>
          <w:tab w:val="left" w:pos="1260"/>
        </w:tabs>
        <w:ind w:left="2100" w:hanging="420"/>
      </w:pPr>
      <w:rPr>
        <w:rFonts w:hint="default" w:ascii="Wingdings" w:hAnsi="Wingdings"/>
      </w:rPr>
    </w:lvl>
    <w:lvl w:ilvl="3" w:tentative="0">
      <w:start w:val="1"/>
      <w:numFmt w:val="bullet"/>
      <w:lvlText w:val=""/>
      <w:lvlJc w:val="left"/>
      <w:pPr>
        <w:tabs>
          <w:tab w:val="left" w:pos="1680"/>
        </w:tabs>
        <w:ind w:left="2520" w:hanging="420"/>
      </w:pPr>
      <w:rPr>
        <w:rFonts w:hint="default" w:ascii="Wingdings" w:hAnsi="Wingdings"/>
      </w:rPr>
    </w:lvl>
    <w:lvl w:ilvl="4" w:tentative="0">
      <w:start w:val="1"/>
      <w:numFmt w:val="bullet"/>
      <w:lvlText w:val=""/>
      <w:lvlJc w:val="left"/>
      <w:pPr>
        <w:tabs>
          <w:tab w:val="left" w:pos="2100"/>
        </w:tabs>
        <w:ind w:left="2940" w:hanging="420"/>
      </w:pPr>
      <w:rPr>
        <w:rFonts w:hint="default" w:ascii="Wingdings" w:hAnsi="Wingdings"/>
      </w:rPr>
    </w:lvl>
    <w:lvl w:ilvl="5" w:tentative="0">
      <w:start w:val="1"/>
      <w:numFmt w:val="bullet"/>
      <w:lvlText w:val=""/>
      <w:lvlJc w:val="left"/>
      <w:pPr>
        <w:tabs>
          <w:tab w:val="left" w:pos="2520"/>
        </w:tabs>
        <w:ind w:left="3360" w:hanging="420"/>
      </w:pPr>
      <w:rPr>
        <w:rFonts w:hint="default" w:ascii="Wingdings" w:hAnsi="Wingdings"/>
      </w:rPr>
    </w:lvl>
    <w:lvl w:ilvl="6" w:tentative="0">
      <w:start w:val="1"/>
      <w:numFmt w:val="bullet"/>
      <w:lvlText w:val=""/>
      <w:lvlJc w:val="left"/>
      <w:pPr>
        <w:tabs>
          <w:tab w:val="left" w:pos="2940"/>
        </w:tabs>
        <w:ind w:left="3780" w:hanging="420"/>
      </w:pPr>
      <w:rPr>
        <w:rFonts w:hint="default" w:ascii="Wingdings" w:hAnsi="Wingdings"/>
      </w:rPr>
    </w:lvl>
    <w:lvl w:ilvl="7" w:tentative="0">
      <w:start w:val="1"/>
      <w:numFmt w:val="bullet"/>
      <w:lvlText w:val=""/>
      <w:lvlJc w:val="left"/>
      <w:pPr>
        <w:tabs>
          <w:tab w:val="left" w:pos="3360"/>
        </w:tabs>
        <w:ind w:left="4200" w:hanging="420"/>
      </w:pPr>
      <w:rPr>
        <w:rFonts w:hint="default" w:ascii="Wingdings" w:hAnsi="Wingdings"/>
      </w:rPr>
    </w:lvl>
    <w:lvl w:ilvl="8" w:tentative="0">
      <w:start w:val="1"/>
      <w:numFmt w:val="bullet"/>
      <w:lvlText w:val=""/>
      <w:lvlJc w:val="left"/>
      <w:pPr>
        <w:tabs>
          <w:tab w:val="left" w:pos="3780"/>
        </w:tabs>
        <w:ind w:left="4620" w:hanging="420"/>
      </w:pPr>
      <w:rPr>
        <w:rFonts w:hint="default" w:ascii="Wingdings" w:hAnsi="Wingdings"/>
      </w:rPr>
    </w:lvl>
  </w:abstractNum>
  <w:abstractNum w:abstractNumId="3">
    <w:nsid w:val="FDDB259C"/>
    <w:multiLevelType w:val="singleLevel"/>
    <w:tmpl w:val="FDDB259C"/>
    <w:lvl w:ilvl="0" w:tentative="0">
      <w:start w:val="1"/>
      <w:numFmt w:val="lowerLetter"/>
      <w:lvlText w:val="%1."/>
      <w:lvlJc w:val="left"/>
      <w:pPr>
        <w:tabs>
          <w:tab w:val="left" w:pos="420"/>
        </w:tabs>
        <w:ind w:left="845" w:hanging="425"/>
      </w:pPr>
      <w:rPr>
        <w:rFonts w:hint="default"/>
      </w:rPr>
    </w:lvl>
  </w:abstractNum>
  <w:abstractNum w:abstractNumId="4">
    <w:nsid w:val="3DD24FCC"/>
    <w:multiLevelType w:val="multilevel"/>
    <w:tmpl w:val="3DD24FCC"/>
    <w:lvl w:ilvl="0" w:tentative="0">
      <w:start w:val="1"/>
      <w:numFmt w:val="lowerLetter"/>
      <w:lvlText w:val="%1."/>
      <w:lvlJc w:val="left"/>
      <w:pPr>
        <w:ind w:left="360" w:hanging="360"/>
      </w:pPr>
      <w:rPr>
        <w:rFonts w:hint="default"/>
        <w:i w:val="0"/>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3ED418F5"/>
    <w:multiLevelType w:val="multilevel"/>
    <w:tmpl w:val="3ED418F5"/>
    <w:lvl w:ilvl="0" w:tentative="0">
      <w:start w:val="1"/>
      <w:numFmt w:val="lowerLetter"/>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451878E4"/>
    <w:multiLevelType w:val="multilevel"/>
    <w:tmpl w:val="451878E4"/>
    <w:lvl w:ilvl="0" w:tentative="0">
      <w:start w:val="1"/>
      <w:numFmt w:val="lowerLetter"/>
      <w:lvlText w:val="%1."/>
      <w:lvlJc w:val="left"/>
      <w:pPr>
        <w:ind w:left="360" w:hanging="360"/>
      </w:pPr>
      <w:rPr>
        <w:rFonts w:hint="default"/>
        <w:color w:val="auto"/>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4"/>
  </w:num>
  <w:num w:numId="3">
    <w:abstractNumId w:val="6"/>
  </w:num>
  <w:num w:numId="4">
    <w:abstractNumId w:val="5"/>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documentProtection w:enforcement="0"/>
  <w:defaultTabStop w:val="420"/>
  <w:drawingGridVerticalSpacing w:val="156"/>
  <w:noPunctuationKerning w:val="1"/>
  <w:characterSpacingControl w:val="compressPunctuation"/>
  <w:footnotePr>
    <w:footnote w:id="8"/>
    <w:footnote w:id="9"/>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67F"/>
    <w:rsid w:val="000B3D3B"/>
    <w:rsid w:val="000E42C4"/>
    <w:rsid w:val="000E6596"/>
    <w:rsid w:val="002536B6"/>
    <w:rsid w:val="002C37E5"/>
    <w:rsid w:val="002F164C"/>
    <w:rsid w:val="0034647A"/>
    <w:rsid w:val="0036014D"/>
    <w:rsid w:val="00367F80"/>
    <w:rsid w:val="00395090"/>
    <w:rsid w:val="003C1033"/>
    <w:rsid w:val="004C09A0"/>
    <w:rsid w:val="005B0499"/>
    <w:rsid w:val="00600667"/>
    <w:rsid w:val="00607BF7"/>
    <w:rsid w:val="006128F6"/>
    <w:rsid w:val="00620734"/>
    <w:rsid w:val="006F082B"/>
    <w:rsid w:val="00723309"/>
    <w:rsid w:val="008B29E2"/>
    <w:rsid w:val="008C186C"/>
    <w:rsid w:val="00916F91"/>
    <w:rsid w:val="009A4A64"/>
    <w:rsid w:val="00A61E6F"/>
    <w:rsid w:val="00B03855"/>
    <w:rsid w:val="00BB3731"/>
    <w:rsid w:val="00BD019C"/>
    <w:rsid w:val="00BD78E9"/>
    <w:rsid w:val="00C30781"/>
    <w:rsid w:val="00C3367F"/>
    <w:rsid w:val="00CE4F05"/>
    <w:rsid w:val="00CF3E4F"/>
    <w:rsid w:val="00D0741B"/>
    <w:rsid w:val="00D1169A"/>
    <w:rsid w:val="00D46C89"/>
    <w:rsid w:val="00D670A2"/>
    <w:rsid w:val="00E0442A"/>
    <w:rsid w:val="00E257D8"/>
    <w:rsid w:val="00E742E6"/>
    <w:rsid w:val="00EC75AE"/>
    <w:rsid w:val="00F14EE0"/>
    <w:rsid w:val="00F3697B"/>
    <w:rsid w:val="094E3682"/>
    <w:rsid w:val="0F7D25CB"/>
    <w:rsid w:val="16D176F4"/>
    <w:rsid w:val="1A3366A8"/>
    <w:rsid w:val="1ADE26DF"/>
    <w:rsid w:val="1AE47A11"/>
    <w:rsid w:val="1AEB2ADF"/>
    <w:rsid w:val="1C88406A"/>
    <w:rsid w:val="239F5928"/>
    <w:rsid w:val="266A16A4"/>
    <w:rsid w:val="27CE17BE"/>
    <w:rsid w:val="33574D5E"/>
    <w:rsid w:val="3527393B"/>
    <w:rsid w:val="353F2467"/>
    <w:rsid w:val="3751774D"/>
    <w:rsid w:val="38194CD8"/>
    <w:rsid w:val="3A910DA6"/>
    <w:rsid w:val="3ABA36F1"/>
    <w:rsid w:val="3CF955DB"/>
    <w:rsid w:val="3DD32530"/>
    <w:rsid w:val="41A0366E"/>
    <w:rsid w:val="43055326"/>
    <w:rsid w:val="45C42947"/>
    <w:rsid w:val="48A85F90"/>
    <w:rsid w:val="4A800BE6"/>
    <w:rsid w:val="4D8F592B"/>
    <w:rsid w:val="4D9B1658"/>
    <w:rsid w:val="4E3F4E00"/>
    <w:rsid w:val="502B6EFE"/>
    <w:rsid w:val="521C79A8"/>
    <w:rsid w:val="52C673B2"/>
    <w:rsid w:val="545A11DC"/>
    <w:rsid w:val="5B6BA06D"/>
    <w:rsid w:val="5DDF5128"/>
    <w:rsid w:val="5F9C6AF4"/>
    <w:rsid w:val="603F0C65"/>
    <w:rsid w:val="633F5AA5"/>
    <w:rsid w:val="66836678"/>
    <w:rsid w:val="6ED251E8"/>
    <w:rsid w:val="76991A67"/>
    <w:rsid w:val="76DC0CC3"/>
    <w:rsid w:val="77AF1DDC"/>
    <w:rsid w:val="79643252"/>
    <w:rsid w:val="7A7FAD88"/>
    <w:rsid w:val="7B0E336E"/>
    <w:rsid w:val="7FAB1A76"/>
    <w:rsid w:val="BCEF4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numPr>
        <w:ilvl w:val="0"/>
        <w:numId w:val="1"/>
      </w:numPr>
      <w:outlineLvl w:val="0"/>
    </w:pPr>
    <w:rPr>
      <w:rFonts w:ascii="黑体" w:hAnsi="黑体" w:eastAsia="黑体" w:cs="黑体"/>
      <w:sz w:val="32"/>
      <w:szCs w:val="32"/>
    </w:rPr>
  </w:style>
  <w:style w:type="paragraph" w:styleId="4">
    <w:name w:val="heading 2"/>
    <w:basedOn w:val="1"/>
    <w:next w:val="1"/>
    <w:unhideWhenUsed/>
    <w:qFormat/>
    <w:uiPriority w:val="0"/>
    <w:pPr>
      <w:adjustRightInd w:val="0"/>
      <w:snapToGrid w:val="0"/>
      <w:spacing w:line="360" w:lineRule="auto"/>
      <w:ind w:firstLine="640" w:firstLineChars="200"/>
      <w:outlineLvl w:val="1"/>
    </w:pPr>
    <w:rPr>
      <w:rFonts w:ascii="楷体" w:hAnsi="楷体" w:eastAsia="楷体" w:cs="仿宋"/>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caption"/>
    <w:basedOn w:val="1"/>
    <w:next w:val="1"/>
    <w:semiHidden/>
    <w:unhideWhenUsed/>
    <w:qFormat/>
    <w:uiPriority w:val="0"/>
    <w:rPr>
      <w:rFonts w:ascii="Times New Roman" w:hAnsi="Times New Roman" w:eastAsia="黑体"/>
      <w:sz w:val="28"/>
      <w:szCs w:val="28"/>
    </w:rPr>
  </w:style>
  <w:style w:type="paragraph" w:styleId="6">
    <w:name w:val="annotation text"/>
    <w:basedOn w:val="1"/>
    <w:link w:val="2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footnote text"/>
    <w:basedOn w:val="1"/>
    <w:qFormat/>
    <w:uiPriority w:val="0"/>
    <w:pPr>
      <w:snapToGrid w:val="0"/>
      <w:jc w:val="left"/>
    </w:pPr>
    <w:rPr>
      <w:sz w:val="18"/>
    </w:rPr>
  </w:style>
  <w:style w:type="paragraph" w:styleId="10">
    <w:name w:val="Normal (Web)"/>
    <w:basedOn w:val="1"/>
    <w:qFormat/>
    <w:uiPriority w:val="0"/>
    <w:rPr>
      <w:sz w:val="24"/>
    </w:rPr>
  </w:style>
  <w:style w:type="paragraph" w:styleId="11">
    <w:name w:val="annotation subject"/>
    <w:basedOn w:val="6"/>
    <w:next w:val="6"/>
    <w:link w:val="22"/>
    <w:qFormat/>
    <w:uiPriority w:val="0"/>
    <w:rPr>
      <w:b/>
      <w:bCs/>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character" w:styleId="17">
    <w:name w:val="footnote reference"/>
    <w:basedOn w:val="14"/>
    <w:qFormat/>
    <w:uiPriority w:val="0"/>
    <w:rPr>
      <w:vertAlign w:val="superscript"/>
    </w:rPr>
  </w:style>
  <w:style w:type="paragraph" w:customStyle="1" w:styleId="18">
    <w:name w:val="表1"/>
    <w:basedOn w:val="1"/>
    <w:qFormat/>
    <w:uiPriority w:val="0"/>
    <w:pPr>
      <w:wordWrap w:val="0"/>
      <w:jc w:val="center"/>
      <w:outlineLvl w:val="3"/>
    </w:pPr>
    <w:rPr>
      <w:rFonts w:ascii="Times New Roman" w:hAnsi="Times New Roman" w:eastAsia="黑体" w:cs="Times New Roman"/>
      <w:sz w:val="28"/>
      <w:szCs w:val="28"/>
    </w:rPr>
  </w:style>
  <w:style w:type="paragraph" w:customStyle="1" w:styleId="19">
    <w:name w:val="黑体三号"/>
    <w:basedOn w:val="1"/>
    <w:qFormat/>
    <w:uiPriority w:val="0"/>
    <w:pPr>
      <w:wordWrap w:val="0"/>
      <w:ind w:firstLine="640" w:firstLineChars="200"/>
      <w:outlineLvl w:val="0"/>
    </w:pPr>
    <w:rPr>
      <w:rFonts w:ascii="Times New Roman" w:hAnsi="Times New Roman" w:eastAsia="黑体" w:cs="Times New Roman"/>
      <w:sz w:val="32"/>
      <w:szCs w:val="32"/>
    </w:rPr>
  </w:style>
  <w:style w:type="paragraph" w:customStyle="1" w:styleId="2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21">
    <w:name w:val="Comment Text Char"/>
    <w:basedOn w:val="14"/>
    <w:link w:val="6"/>
    <w:qFormat/>
    <w:uiPriority w:val="0"/>
    <w:rPr>
      <w:rFonts w:asciiTheme="minorHAnsi" w:hAnsiTheme="minorHAnsi" w:eastAsiaTheme="minorEastAsia" w:cstheme="minorBidi"/>
      <w:kern w:val="2"/>
      <w:sz w:val="21"/>
      <w:szCs w:val="24"/>
    </w:rPr>
  </w:style>
  <w:style w:type="character" w:customStyle="1" w:styleId="22">
    <w:name w:val="Comment Subject Char"/>
    <w:basedOn w:val="21"/>
    <w:link w:val="11"/>
    <w:qFormat/>
    <w:uiPriority w:val="0"/>
    <w:rPr>
      <w:rFonts w:asciiTheme="minorHAnsi" w:hAnsiTheme="minorHAnsi" w:eastAsiaTheme="minorEastAsia" w:cstheme="minorBidi"/>
      <w:b/>
      <w:bCs/>
      <w:kern w:val="2"/>
      <w:sz w:val="21"/>
      <w:szCs w:val="24"/>
    </w:rPr>
  </w:style>
  <w:style w:type="paragraph" w:customStyle="1" w:styleId="23">
    <w:name w:val="Revision1"/>
    <w:hidden/>
    <w:unhideWhenUsed/>
    <w:qFormat/>
    <w:uiPriority w:val="99"/>
    <w:rPr>
      <w:rFonts w:asciiTheme="minorHAnsi" w:hAnsiTheme="minorHAnsi" w:eastAsiaTheme="minorEastAsia" w:cstheme="minorBidi"/>
      <w:kern w:val="2"/>
      <w:sz w:val="21"/>
      <w:szCs w:val="24"/>
      <w:lang w:val="en-US" w:eastAsia="zh-CN" w:bidi="ar-SA"/>
    </w:rPr>
  </w:style>
  <w:style w:type="paragraph" w:styleId="24">
    <w:name w:val="List Paragraph"/>
    <w:basedOn w:val="1"/>
    <w:qFormat/>
    <w:uiPriority w:val="34"/>
    <w:pPr>
      <w:ind w:left="720"/>
      <w:contextualSpacing/>
    </w:pPr>
  </w:style>
  <w:style w:type="paragraph" w:customStyle="1" w:styleId="25">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3.xml><?xml version="1.0" encoding="utf-8"?>
<?mso-contentType ?>
<spe:Receivers xmlns:spe="http://schemas.microsoft.com/sharepoint/events"/>
</file>

<file path=customXml/item4.xml><?xml version="1.0" encoding="utf-8"?>
<?mso-contentType ?>
<SharedContentType xmlns="Microsoft.SharePoint.Taxonomy.ContentTypeSync" PreviousValue="false" ContentTypeId="0x010100F4C63C3BD852AE468EAEFD0E6C57C64F02" SourceId="2a6c10d7-b926-4fc0-945e-3cbf5049f6bd"/>
</file>

<file path=customXml/item5.xml><?xml version="1.0" encoding="utf-8"?>
<ct:contentTypeSchema xmlns:ct="http://schemas.microsoft.com/office/2006/metadata/contentType" contentTypeID="0x010100F4C63C3BD852AE468EAEFD0E6C57C64F02008C015598D0747D4283BB1F9D49ADADC6" contentTypeVersion="21" contentTypeDescription="" contentTypeScope="" contentTypeName="WBDocument" versionID="793720ccac36104286da29796a69d008" _="">
  <xsd:schema xmlns:xsd="http://www.w3.org/2001/XMLSchema" xmlns:ma="http://schemas.microsoft.com/office/2006/metadata/properties/metaAttributes" root="true" targetNamespace="http://schemas.microsoft.com/office/2006/metadata/properties" ma:fieldsID="0b45970f5a227ce107450d300e422142" _="">
    <xsd:import xmlns:xsd="http://www.w3.org/2001/XMLSchema" namespace="3e02667f-0271-471b-bd6e-11a2e16def1d"/>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element xmlns:xsd="http://www.w3.org/2001/XMLSchema" minOccurs="0" ref="ns3:WBDocs_Document_Date"/>
                <xsd:element xmlns:xsd="http://www.w3.org/2001/XMLSchema" ref="ns3:WBDocs_Information_Classification"/>
                <xsd:element xmlns:xsd="http://www.w3.org/2001/XMLSchema" minOccurs="0" ref="ns3:TaxCatchAll"/>
                <xsd:element xmlns:xsd="http://www.w3.org/2001/XMLSchema" minOccurs="0" ref="ns3:TaxCatchAllLabel"/>
                <xsd:element xmlns:xsd="http://www.w3.org/2001/XMLSchema" minOccurs="0" ref="ns3:_dlc_DocId"/>
                <xsd:element xmlns:xsd="http://www.w3.org/2001/XMLSchema" minOccurs="0" ref="ns3:_dlc_DocIdUrl"/>
                <xsd:element xmlns:xsd="http://www.w3.org/2001/XMLSchema" minOccurs="0" ref="ns3:_dlc_DocIdPersistId"/>
                <xsd:element xmlns:xsd="http://www.w3.org/2001/XMLSchema" minOccurs="0" ref="ns3:WBDocs_Access_To_Info_Exception"/>
                <xsd:element xmlns:xsd="http://www.w3.org/2001/XMLSchema" minOccurs="0" ref="ns3:o1cb080a3dca4eb8a0fd03c7cc8bf8f7"/>
                <xsd:element xmlns:xsd="http://www.w3.org/2001/XMLSchema" minOccurs="0" ref="ns3:i008215bacac45029ee8cafff4c8e93b"/>
                <xsd:element xmlns:xsd="http://www.w3.org/2001/XMLSchema" minOccurs="0" ref="ns3:OneCMS_Subcategory"/>
                <xsd:element xmlns:xsd="http://www.w3.org/2001/XMLSchema" minOccurs="0" ref="ns3:OneCMS_Category"/>
                <xsd:element xmlns:xsd="http://www.w3.org/2001/XMLSchema" minOccurs="0" ref="ns3:Abstract"/>
              </xsd:all>
            </xsd:complexType>
          </xsd:element>
        </xsd:sequence>
      </xsd:complexType>
    </xsd:element>
  </xsd:schema>
  <xsd:schema xmlns:xsd="http://www.w3.org/2001/XMLSchema" targetNamespace="3e02667f-0271-471b-bd6e-11a2e16def1d" elementFormDefault="qualified">
    <xsd:import xmlns:xsd="http://www.w3.org/2001/XMLSchema" namespace="http://schemas.microsoft.com/office/2006/documentManagement/types"/>
    <xsd:import xmlns:xsd="http://www.w3.org/2001/XMLSchema" namespace="http://schemas.microsoft.com/office/infopath/2007/PartnerControls"/>
    <xsd:element xmlns:xsd="http://www.w3.org/2001/XMLSchema" xmlns:ma="http://schemas.microsoft.com/office/2006/metadata/properties/metaAttributes" nillable="true" format="DateTime" ma:internalName="WBDocs_Document_Date" ma:index="3" ma:displayName="Document Date" ma:readOnly="false" name="WBDocs_Document_Date" ma:default="[today]">
      <xsd:simpleType xmlns:xsd="http://www.w3.org/2001/XMLSchema">
        <xsd:restriction xmlns:xsd="http://www.w3.org/2001/XMLSchema" base="dms:DateTime"/>
      </xsd:simpleType>
    </xsd:element>
    <xsd:element xmlns:xsd="http://www.w3.org/2001/XMLSchema" xmlns:ma="http://schemas.microsoft.com/office/2006/metadata/properties/metaAttributes" format="Dropdown" ma:internalName="WBDocs_Information_Classification" ma:index="4" ma:displayName="Information Classification" ma:readOnly="false" name="WBDocs_Information_Classification" ma:default="Official Use Only">
      <xsd:simpleType xmlns:xsd="http://www.w3.org/2001/XMLSchema">
        <xsd:restriction xmlns:xsd="http://www.w3.org/2001/XMLSchema" base="dms:Choice">
          <xsd:enumeration xmlns:xsd="http://www.w3.org/2001/XMLSchema" value="Public"/>
          <xsd:enumeration xmlns:xsd="http://www.w3.org/2001/XMLSchema" value="Official Use Only"/>
          <xsd:enumeration xmlns:xsd="http://www.w3.org/2001/XMLSchema" value="Confidential"/>
          <xsd:enumeration xmlns:xsd="http://www.w3.org/2001/XMLSchema" value="Strictly Confidential"/>
        </xsd:restriction>
      </xsd:simpleType>
    </xsd:element>
    <xsd:element xmlns:xsd="http://www.w3.org/2001/XMLSchema" xmlns:ma="http://schemas.microsoft.com/office/2006/metadata/properties/metaAttributes" nillable="true" ma:internalName="TaxCatchAll" ma:showField="CatchAllData" ma:index="6" ma:displayName="Taxonomy Catch All Column" ma:hidden="true" ma:list="{16aa8994-a05b-49f1-92e2-ade3831271c5}" name="TaxCatchAl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nillable="true" maxOccurs="unbounded" minOccurs="0" type="dms:Lookup" name="Value"/>
            </xsd:sequence>
          </xsd:extension>
        </xsd:complexContent>
      </xsd:complexType>
    </xsd:element>
    <xsd:element xmlns:xsd="http://www.w3.org/2001/XMLSchema" xmlns:ma="http://schemas.microsoft.com/office/2006/metadata/properties/metaAttributes" nillable="true" ma:internalName="TaxCatchAllLabel" ma:showField="CatchAllDataLabel" ma:index="7" ma:displayName="Taxonomy Catch All Column1" ma:readOnly="true" ma:hidden="true" ma:list="{16aa8994-a05b-49f1-92e2-ade3831271c5}" name="TaxCatchAllLabel" web="55412a85-6e69-42a4-8c20-5128caeef093">
      <xsd:complexType xmlns:xsd="http://www.w3.org/2001/XMLSchema">
        <xsd:complexContent xmlns:xsd="http://www.w3.org/2001/XMLSchema">
          <xsd:extension xmlns:xsd="http://www.w3.org/2001/XMLSchema" base="dms:MultiChoiceLookup">
            <xsd:sequence xmlns:xsd="http://www.w3.org/2001/XMLSchema">
              <xsd:element xmlns:xsd="http://www.w3.org/2001/XMLSchema" nillable="true" maxOccurs="unbounded" minOccurs="0" type="dms:Lookup" name="Value"/>
            </xsd:sequence>
          </xsd:extension>
        </xsd:complexContent>
      </xsd:complexType>
    </xsd:element>
    <xsd:element xmlns:xsd="http://www.w3.org/2001/XMLSchema" xmlns:ma="http://schemas.microsoft.com/office/2006/metadata/properties/metaAttributes" nillable="true" ma:internalName="_dlc_DocId" displayName="Document ID Value" ma:index="10" ma:description="The value of the document ID assigned to this item." ma:readOnly="true" name="_dlc_DocId">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_dlc_DocIdUrl" ma:index="11" ma:displayName="Document ID" hidden="true" ma:description="Permanent link to this document." ma:readOnly="true" name="_dlc_DocIdUrl">
      <xsd:complexType xmlns:xsd="http://www.w3.org/2001/XMLSchema">
        <xsd:complexContent xmlns:xsd="http://www.w3.org/2001/XMLSchema">
          <xsd:extension xmlns:xsd="http://www.w3.org/2001/XMLSchema" base="dms:URL">
            <xsd:sequence xmlns:xsd="http://www.w3.org/2001/XMLSchema">
              <xsd:element xmlns:xsd="http://www.w3.org/2001/XMLSchema" nillable="true" minOccurs="0" type="dms:ValidUrl" name="Url"/>
              <xsd:element xmlns:xsd="http://www.w3.org/2001/XMLSchema" nillable="true" type="xsd:string" name="Description"/>
            </xsd:sequence>
          </xsd:extension>
        </xsd:complexContent>
      </xsd:complexType>
    </xsd:element>
    <xsd:element xmlns:xsd="http://www.w3.org/2001/XMLSchema" xmlns:ma="http://schemas.microsoft.com/office/2006/metadata/properties/metaAttributes" nillable="true" ma:internalName="_dlc_DocIdPersistId" ma:index="12" ma:displayName="Persist ID" hidden="true" ma:description="Keep ID on add." ma:readOnly="true" name="_dlc_DocIdPersistId">
      <xsd:simpleType xmlns:xsd="http://www.w3.org/2001/XMLSchema">
        <xsd:restriction xmlns:xsd="http://www.w3.org/2001/XMLSchema" base="dms:Boolean"/>
      </xsd:simpleType>
    </xsd:element>
    <xsd:element xmlns:xsd="http://www.w3.org/2001/XMLSchema" xmlns:ma="http://schemas.microsoft.com/office/2006/metadata/properties/metaAttributes" nillable="true" format="Dropdown" ma:internalName="WBDocs_Access_To_Info_Exception" ma:index="13" ma:displayName="Access to Info Exception" name="WBDocs_Access_To_Info_Exception" ma:default="12. Not Assessed">
      <xsd:simpleType xmlns:xsd="http://www.w3.org/2001/XMLSchema">
        <xsd:restriction xmlns:xsd="http://www.w3.org/2001/XMLSchema" base="dms:Choice">
          <xsd:enumeration xmlns:xsd="http://www.w3.org/2001/XMLSchema" value="1. Personal"/>
          <xsd:enumeration xmlns:xsd="http://www.w3.org/2001/XMLSchema" value="2. Executive Director's Communications"/>
          <xsd:enumeration xmlns:xsd="http://www.w3.org/2001/XMLSchema" value="3. Board Ethics Committee"/>
          <xsd:enumeration xmlns:xsd="http://www.w3.org/2001/XMLSchema" value="4. Attorney-Client Privilege"/>
          <xsd:enumeration xmlns:xsd="http://www.w3.org/2001/XMLSchema" value="5. Security &amp; Safety"/>
          <xsd:enumeration xmlns:xsd="http://www.w3.org/2001/XMLSchema" value="6. Other Disclosure Regimes"/>
          <xsd:enumeration xmlns:xsd="http://www.w3.org/2001/XMLSchema" value="7. Client / Third Party Confidence"/>
          <xsd:enumeration xmlns:xsd="http://www.w3.org/2001/XMLSchema" value="8. Corporate/Administrative"/>
          <xsd:enumeration xmlns:xsd="http://www.w3.org/2001/XMLSchema" value="9. Deliberative"/>
          <xsd:enumeration xmlns:xsd="http://www.w3.org/2001/XMLSchema" value="10a-c. Financial - Forecast/Analysis/Transactions"/>
          <xsd:enumeration xmlns:xsd="http://www.w3.org/2001/XMLSchema" value="10d. Financial - Banking &amp; Billing"/>
          <xsd:enumeration xmlns:xsd="http://www.w3.org/2001/XMLSchema" value="11. Bank's Prerogative to Restrict"/>
          <xsd:enumeration xmlns:xsd="http://www.w3.org/2001/XMLSchema" value="12. Not Assessed"/>
          <xsd:enumeration xmlns:xsd="http://www.w3.org/2001/XMLSchema" value="13. Not Applicable"/>
          <xsd:enumeration xmlns:xsd="http://www.w3.org/2001/XMLSchema" value="Unknown Policy Restriction"/>
        </xsd:restriction>
      </xsd:simpleType>
    </xsd:element>
    <xsd:element xmlns:ma="http://schemas.microsoft.com/office/2006/metadata/properties/metaAttributes" xmlns:xsd="http://www.w3.org/2001/XMLSchema" name="o1cb080a3dca4eb8a0fd03c7cc8bf8f7" ma:index="15" ma:readOnly="false" ma:open="false" ma:displayName="Local Document Type" ma:anchorId="00000000-0000-0000-0000-000000000000" ma:termSetId="ec380048-e675-43f7-9194-41567bcb0af6" fieldId="{81cb080a-3dca-4eb8-a0fd-03c7cc8bf8f7}" nillable="true" ma:default="" ma:taxonomyFieldName="WBDocs_Local_Document_Type" ma:taxonomy="true" ma:internalName="o1cb080a3dca4eb8a0fd03c7cc8bf8f7" ma:sspId="2a6c10d7-b926-4fc0-945e-3cbf5049f6bd" ma:taxonomyMulti="true" ma:isKeyword="false">
      <xsd:complexType xmlns:xsd="http://www.w3.org/2001/XMLSchema">
        <xsd:sequence xmlns:xsd="http://www.w3.org/2001/XMLSchema">
          <xsd:element xmlns:xsd="http://www.w3.org/2001/XMLSchema" maxOccurs="1" minOccurs="0" ref="pc:Terms"/>
        </xsd:sequence>
      </xsd:complexType>
    </xsd:element>
    <xsd:element xmlns:ma="http://schemas.microsoft.com/office/2006/metadata/properties/metaAttributes" xmlns:xsd="http://www.w3.org/2001/XMLSchema" name="i008215bacac45029ee8cafff4c8e93b" ma:index="17" ma:readOnly="false" ma:open="false" ma:displayName="Originating unit" ma:anchorId="00000000-0000-0000-0000-000000000000" ma:termSetId="806c0147-d557-463e-8bb0-983f4f318bd5" fieldId="{2008215b-acac-4502-9ee8-cafff4c8e93b}" nillable="true" ma:default="5;#EACCF - WB Off: Beijing|2435c311-dfa9-4ae1-8e70-c51f57abf81a" ma:taxonomyFieldName="WBDocs_Originating_Unit" ma:taxonomy="true" ma:internalName="i008215bacac45029ee8cafff4c8e93b" ma:sspId="2a6c10d7-b926-4fc0-945e-3cbf5049f6bd" ma:taxonomyMulti="true" ma:isKeyword="false">
      <xsd:complexType xmlns:xsd="http://www.w3.org/2001/XMLSchema">
        <xsd:sequence xmlns:xsd="http://www.w3.org/2001/XMLSchema">
          <xsd:element xmlns:xsd="http://www.w3.org/2001/XMLSchema" maxOccurs="1" minOccurs="0" ref="pc:Terms"/>
        </xsd:sequence>
      </xsd:complexType>
    </xsd:element>
    <xsd:element xmlns:xsd="http://www.w3.org/2001/XMLSchema" xmlns:ma="http://schemas.microsoft.com/office/2006/metadata/properties/metaAttributes" nillable="true" ma:internalName="OneCMS_Subcategory" ma:index="21" ma:displayName="Subcategory" hidden="true" ma:readOnly="false" name="OneCMS_Subcategory">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OneCMS_Category" ma:index="22" ma:displayName="Category" hidden="true" ma:readOnly="false" name="OneCMS_Category">
      <xsd:simpleType xmlns:xsd="http://www.w3.org/2001/XMLSchema">
        <xsd:restriction xmlns:xsd="http://www.w3.org/2001/XMLSchema" base="dms:Text"/>
      </xsd:simpleType>
    </xsd:element>
    <xsd:element xmlns:xsd="http://www.w3.org/2001/XMLSchema" xmlns:ma="http://schemas.microsoft.com/office/2006/metadata/properties/metaAttributes" nillable="true" ma:internalName="Abstract" ma:index="23" ma:displayName="Abstract" hidden="true" ma:readOnly="false" name="Abstract">
      <xsd:simpleType xmlns:xsd="http://www.w3.org/2001/XMLSchema">
        <xsd:restriction xmlns:xsd="http://www.w3.org/2001/XMLSchema" base="dms:Note"/>
      </xsd:simpleType>
    </xsd:element>
  </xsd:schema>
  <xsd:schema xmlns:xsd="http://www.w3.org/2001/XMLSchema" attributeFormDefault="unqualified" blockDefault="#all" targetNamespace="http://schemas.openxmlformats.org/package/2006/metadata/core-properties" elementFormDefault="qualified">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type="CT_coreProperties" name="coreProperties"/>
    <xsd:complexType xmlns:xsd="http://www.w3.org/2001/XMLSchema" name="CT_coreProperties">
      <xsd:all xmlns:xsd="http://www.w3.org/2001/XMLSchema">
        <xsd:element xmlns:xsd="http://www.w3.org/2001/XMLSchema" xmlns:ma="http://schemas.microsoft.com/office/2006/metadata/properties/metaAttributes" maxOccurs="1" minOccurs="0" displayName="Author" ma:index="2" ref="dc:creator"/>
        <xsd:element xmlns:xsd="http://www.w3.org/2001/XMLSchema" maxOccurs="1" minOccurs="0" ref="dcterms:created"/>
        <xsd:element xmlns:xsd="http://www.w3.org/2001/XMLSchema" maxOccurs="1" minOccurs="0" ref="dc:identifier"/>
        <xsd:element xmlns:xsd="http://www.w3.org/2001/XMLSchema" xmlns:ma="http://schemas.microsoft.com/office/2006/metadata/properties/metaAttributes" maxOccurs="1" minOccurs="0" displayName="Content Type" ma:index="19" type="xsd:string" name="contentType"/>
        <xsd:element xmlns:xsd="http://www.w3.org/2001/XMLSchema" xmlns:ma="http://schemas.microsoft.com/office/2006/metadata/properties/metaAttributes" maxOccurs="1" minOccurs="0" displayName="Title" ma:index="1" ref="dc:title"/>
        <xsd:element xmlns:xsd="http://www.w3.org/2001/XMLSchema" maxOccurs="1" minOccurs="0" ref="dc:subject"/>
        <xsd:element xmlns:xsd="http://www.w3.org/2001/XMLSchema" maxOccurs="1" minOccurs="0" ref="dc:description"/>
        <xsd:element xmlns:xsd="http://www.w3.org/2001/XMLSchema" maxOccurs="1" minOccurs="0" type="xsd:string" name="keywords"/>
        <xsd:element xmlns:xsd="http://www.w3.org/2001/XMLSchema" maxOccurs="1" minOccurs="0" ref="dc:language"/>
        <xsd:element xmlns:xsd="http://www.w3.org/2001/XMLSchema" maxOccurs="1" minOccurs="0" type="xsd:string" name="category"/>
        <xsd:element xmlns:xsd="http://www.w3.org/2001/XMLSchema" maxOccurs="1" minOccurs="0" type="xsd:string" name="version"/>
        <xsd:element xmlns:xsd="http://www.w3.org/2001/XMLSchema" maxOccurs="1" minOccurs="0" type="xsd:string" name="revision">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maxOccurs="1" minOccurs="0" type="xsd:string" name="lastModifiedBy"/>
        <xsd:element xmlns:xsd="http://www.w3.org/2001/XMLSchema" maxOccurs="1" minOccurs="0" ref="dcterms:modified"/>
        <xsd:element xmlns:xsd="http://www.w3.org/2001/XMLSchema" maxOccurs="1" minOccurs="0" type="xsd:string" name="contentStatus"/>
      </xsd:all>
    </xsd:complexType>
  </xsd:schema>
  <xs:schema xmlns:xs="http://www.w3.org/2001/XMLSchema" attributeFormDefault="unqualified" targetNamespace="http://schemas.microsoft.com/office/infopath/2007/PartnerControls" elementFormDefault="qualified">
    <xs:element xmlns:xs="http://www.w3.org/2001/XMLSchema" name="Person">
      <xs:complexType xmlns:xs="http://www.w3.org/2001/XMLSchema">
        <xs:sequence xmlns:xs="http://www.w3.org/2001/XMLSchema">
          <xs:element xmlns:xs="http://www.w3.org/2001/XMLSchema" minOccurs="0" ref="pc:DisplayName"/>
          <xs:element xmlns:xs="http://www.w3.org/2001/XMLSchema" minOccurs="0" ref="pc:AccountId"/>
          <xs:element xmlns:xs="http://www.w3.org/2001/XMLSchema" minOccurs="0" ref="pc:AccountType"/>
        </xs:sequence>
      </xs:complexType>
    </xs:element>
    <xs:element xmlns:xs="http://www.w3.org/2001/XMLSchema" type="xs:string" name="DisplayName"/>
    <xs:element xmlns:xs="http://www.w3.org/2001/XMLSchema" type="xs:string" name="AccountId"/>
    <xs:element xmlns:xs="http://www.w3.org/2001/XMLSchema" type="xs:string" name="AccountType"/>
    <xs:element xmlns:xs="http://www.w3.org/2001/XMLSchema" name="BDCAssociatedEntity">
      <xs:complexType xmlns:xs="http://www.w3.org/2001/XMLSchema">
        <xs:sequence xmlns:xs="http://www.w3.org/2001/XMLSchema">
          <xs:element xmlns:xs="http://www.w3.org/2001/XMLSchema" maxOccurs="unbounded" minOccurs="0" ref="pc:BDCEntity"/>
        </xs:sequence>
        <xs:attribute xmlns:xs="http://www.w3.org/2001/XMLSchema" ref="pc:EntityNamespace"/>
        <xs:attribute xmlns:xs="http://www.w3.org/2001/XMLSchema" ref="pc:EntityName"/>
        <xs:attribute xmlns:xs="http://www.w3.org/2001/XMLSchema" ref="pc:SystemInstanceName"/>
        <xs:attribute xmlns:xs="http://www.w3.org/2001/XMLSchema" ref="pc:AssociationName"/>
      </xs:complexType>
    </xs:element>
    <xs:attribute xmlns:xs="http://www.w3.org/2001/XMLSchema" type="xs:string" name="EntityNamespace"/>
    <xs:attribute xmlns:xs="http://www.w3.org/2001/XMLSchema" type="xs:string" name="EntityName"/>
    <xs:attribute xmlns:xs="http://www.w3.org/2001/XMLSchema" type="xs:string" name="SystemInstanceName"/>
    <xs:attribute xmlns:xs="http://www.w3.org/2001/XMLSchema" type="xs:string" name="AssociationName"/>
    <xs:element xmlns:xs="http://www.w3.org/2001/XMLSchema" name="BDCEntity">
      <xs:complexType xmlns:xs="http://www.w3.org/2001/XMLSchema">
        <xs:sequence xmlns:xs="http://www.w3.org/2001/XMLSchema">
          <xs:element xmlns:xs="http://www.w3.org/2001/XMLSchema" minOccurs="0" ref="pc:EntityDisplayName"/>
          <xs:element xmlns:xs="http://www.w3.org/2001/XMLSchema" minOccurs="0" ref="pc:EntityInstanceReference"/>
          <xs:element xmlns:xs="http://www.w3.org/2001/XMLSchema" minOccurs="0" ref="pc:EntityId1"/>
          <xs:element xmlns:xs="http://www.w3.org/2001/XMLSchema" minOccurs="0" ref="pc:EntityId2"/>
          <xs:element xmlns:xs="http://www.w3.org/2001/XMLSchema" minOccurs="0" ref="pc:EntityId3"/>
          <xs:element xmlns:xs="http://www.w3.org/2001/XMLSchema" minOccurs="0" ref="pc:EntityId4"/>
          <xs:element xmlns:xs="http://www.w3.org/2001/XMLSchema" minOccurs="0" ref="pc:EntityId5"/>
        </xs:sequence>
      </xs:complexType>
    </xs:element>
    <xs:element xmlns:xs="http://www.w3.org/2001/XMLSchema" type="xs:string" name="EntityDisplayName"/>
    <xs:element xmlns:xs="http://www.w3.org/2001/XMLSchema" type="xs:string" name="EntityInstanceReference"/>
    <xs:element xmlns:xs="http://www.w3.org/2001/XMLSchema" type="xs:string" name="EntityId1"/>
    <xs:element xmlns:xs="http://www.w3.org/2001/XMLSchema" type="xs:string" name="EntityId2"/>
    <xs:element xmlns:xs="http://www.w3.org/2001/XMLSchema" type="xs:string" name="EntityId3"/>
    <xs:element xmlns:xs="http://www.w3.org/2001/XMLSchema" type="xs:string" name="EntityId4"/>
    <xs:element xmlns:xs="http://www.w3.org/2001/XMLSchema" type="xs:string" name="EntityId5"/>
    <xs:element xmlns:xs="http://www.w3.org/2001/XMLSchema" name="Terms">
      <xs:complexType xmlns:xs="http://www.w3.org/2001/XMLSchema">
        <xs:sequence xmlns:xs="http://www.w3.org/2001/XMLSchema">
          <xs:element xmlns:xs="http://www.w3.org/2001/XMLSchema" maxOccurs="unbounded" minOccurs="0" ref="pc:TermInfo"/>
        </xs:sequence>
      </xs:complexType>
    </xs:element>
    <xs:element xmlns:xs="http://www.w3.org/2001/XMLSchema" name="TermInfo">
      <xs:complexType xmlns:xs="http://www.w3.org/2001/XMLSchema">
        <xs:sequence xmlns:xs="http://www.w3.org/2001/XMLSchema">
          <xs:element xmlns:xs="http://www.w3.org/2001/XMLSchema" minOccurs="0" ref="pc:TermName"/>
          <xs:element xmlns:xs="http://www.w3.org/2001/XMLSchema" minOccurs="0" ref="pc:TermId"/>
        </xs:sequence>
      </xs:complexType>
    </xs:element>
    <xs:element xmlns:xs="http://www.w3.org/2001/XMLSchema" type="xs:string" name="TermName"/>
    <xs:element xmlns:xs="http://www.w3.org/2001/XMLSchema" type="xs:string" name="TermId"/>
  </xs:schema>
</ct:contentTypeSchema>
</file>

<file path=customXml/item6.xml><?xml version="1.0" encoding="utf-8"?>
<p:properties xmlns:p="http://schemas.microsoft.com/office/2006/metadata/properties" xmlns:pc="http://schemas.microsoft.com/office/infopath/2007/PartnerControls" xmlns:xsi="http://www.w3.org/2001/XMLSchema-instance">
  <documentManagement>
    <o1cb080a3dca4eb8a0fd03c7cc8bf8f7 xmlns="3e02667f-0271-471b-bd6e-11a2e16def1d">
      <Terms xmlns="http://schemas.microsoft.com/office/infopath/2007/PartnerControls"/>
    </o1cb080a3dca4eb8a0fd03c7cc8bf8f7>
    <Abstract xmlns:xsi="http://www.w3.org/2001/XMLSchema-instance" xmlns="3e02667f-0271-471b-bd6e-11a2e16def1d" xsi:nil="true"/>
    <WBDocs_Access_To_Info_Exception xmlns="3e02667f-0271-471b-bd6e-11a2e16def1d">12. Not Assessed</WBDocs_Access_To_Info_Exception>
    <WBDocs_Document_Date xmlns="3e02667f-0271-471b-bd6e-11a2e16def1d">2026-05-06T04:09:56+00:00</WBDocs_Document_Date>
    <TaxCatchAll xmlns="3e02667f-0271-471b-bd6e-11a2e16def1d">
      <Value xmlns="3e02667f-0271-471b-bd6e-11a2e16def1d">5</Value>
    </TaxCatchAll>
    <OneCMS_Subcategory xmlns:xsi="http://www.w3.org/2001/XMLSchema-instance" xmlns="3e02667f-0271-471b-bd6e-11a2e16def1d" xsi:nil="true"/>
    <i008215bacac45029ee8cafff4c8e93b xmlns="3e02667f-0271-471b-bd6e-11a2e16def1d">
      <Terms xmlns="http://schemas.microsoft.com/office/infopath/2007/PartnerControls">
        <TermInfo xmlns="http://schemas.microsoft.com/office/infopath/2007/PartnerControls">
          <TermName xmlns="http://schemas.microsoft.com/office/infopath/2007/PartnerControls">EACCF - WB Off: Beijing</TermName>
          <TermId xmlns="http://schemas.microsoft.com/office/infopath/2007/PartnerControls">2435c311-dfa9-4ae1-8e70-c51f57abf81a</TermId>
        </TermInfo>
      </Terms>
    </i008215bacac45029ee8cafff4c8e93b>
    <WBDocs_Information_Classification xmlns="3e02667f-0271-471b-bd6e-11a2e16def1d">Official Use Only</WBDocs_Information_Classification>
    <OneCMS_Category xmlns:xsi="http://www.w3.org/2001/XMLSchema-instance" xmlns="3e02667f-0271-471b-bd6e-11a2e16def1d" xsi:nil="true"/>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3A8E9E-59C3-4992-B5F2-62860AEF1F92}">
  <ds:schemaRefs/>
</ds:datastoreItem>
</file>

<file path=customXml/itemProps3.xml><?xml version="1.0" encoding="utf-8"?>
<ds:datastoreItem xmlns:ds="http://schemas.openxmlformats.org/officeDocument/2006/customXml" ds:itemID="{A58D43E4-5347-4C02-947B-68E2177EE66A}">
  <ds:schemaRefs/>
</ds:datastoreItem>
</file>

<file path=customXml/itemProps4.xml><?xml version="1.0" encoding="utf-8"?>
<ds:datastoreItem xmlns:ds="http://schemas.openxmlformats.org/officeDocument/2006/customXml" ds:itemID="{D91CED33-B217-4292-AD7D-8C064601A5ED}">
  <ds:schemaRefs/>
</ds:datastoreItem>
</file>

<file path=customXml/itemProps5.xml><?xml version="1.0" encoding="utf-8"?>
<ds:datastoreItem xmlns:ds="http://schemas.openxmlformats.org/officeDocument/2006/customXml" ds:itemID="{601D11E2-A7BF-4E67-B690-A36A05B7BCB3}">
  <ds:schemaRefs/>
</ds:datastoreItem>
</file>

<file path=customXml/itemProps6.xml><?xml version="1.0" encoding="utf-8"?>
<ds:datastoreItem xmlns:ds="http://schemas.openxmlformats.org/officeDocument/2006/customXml" ds:itemID="{AED71443-39AC-4826-AE44-28C7705A3D13}">
  <ds:schemaRefs/>
</ds:datastoreItem>
</file>

<file path=docProps/app.xml><?xml version="1.0" encoding="utf-8"?>
<Properties xmlns="http://schemas.openxmlformats.org/officeDocument/2006/extended-properties" xmlns:vt="http://schemas.openxmlformats.org/officeDocument/2006/docPropsVTypes">
  <Template>Normal.dotm</Template>
  <Company>WBG</Company>
  <Pages>16</Pages>
  <Words>2180</Words>
  <Characters>2262</Characters>
  <Lines>312</Lines>
  <Paragraphs>285</Paragraphs>
  <TotalTime>0</TotalTime>
  <ScaleCrop>false</ScaleCrop>
  <LinksUpToDate>false</LinksUpToDate>
  <CharactersWithSpaces>2263</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2026-03-17T03:38:00Z</dcterms:created>
  <dc:creator>river</dc:creator>
  <cp:lastModifiedBy>张万军</cp:lastModifiedBy>
  <dcterms:modified xsi:type="dcterms:W3CDTF">2026-07-28T18:53:01Z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28F08E1B2C0348D897B2046F4DFE63D5_12</vt:lpwstr>
  </property>
  <property fmtid="{D5CDD505-2E9C-101B-9397-08002B2CF9AE}" pid="4" name="KSOTemplateDocerSaveRecord">
    <vt:lpwstr>eyJoZGlkIjoiMjIyMWMzOGE3YjUzODgxZmVkMTc5NzMzZDFlZDMyOGYiLCJ1c2VySWQiOiIyMzAzMjg4NTkifQ==</vt:lpwstr>
  </property>
  <property fmtid="{D5CDD505-2E9C-101B-9397-08002B2CF9AE}" pid="5" name="ContentTypeId">
    <vt:lpwstr>0x010100F4C63C3BD852AE468EAEFD0E6C57C64F02008C015598D0747D4283BB1F9D49ADADC6</vt:lpwstr>
  </property>
  <property fmtid="{D5CDD505-2E9C-101B-9397-08002B2CF9AE}" pid="6" name="ClassificationContentMarkingFooterShapeIds">
    <vt:lpwstr>5629729e,45b059b2,c499f0</vt:lpwstr>
  </property>
  <property fmtid="{D5CDD505-2E9C-101B-9397-08002B2CF9AE}" pid="7" name="ClassificationContentMarkingFooterFontProps">
    <vt:lpwstr>#000000,10,Aptos</vt:lpwstr>
  </property>
  <property fmtid="{D5CDD505-2E9C-101B-9397-08002B2CF9AE}" pid="8" name="ClassificationContentMarkingFooterText">
    <vt:lpwstr>Official Use Only</vt:lpwstr>
  </property>
  <property fmtid="{D5CDD505-2E9C-101B-9397-08002B2CF9AE}" pid="9" name="MSIP_Label_f1bf45b6-5649-4236-82a3-f45024cd282e_Enabled">
    <vt:lpwstr>true</vt:lpwstr>
  </property>
  <property fmtid="{D5CDD505-2E9C-101B-9397-08002B2CF9AE}" pid="10" name="MSIP_Label_f1bf45b6-5649-4236-82a3-f45024cd282e_SetDate">
    <vt:lpwstr>2026-05-07T13:43:43Z</vt:lpwstr>
  </property>
  <property fmtid="{D5CDD505-2E9C-101B-9397-08002B2CF9AE}" pid="11" name="MSIP_Label_f1bf45b6-5649-4236-82a3-f45024cd282e_Method">
    <vt:lpwstr>Standard</vt:lpwstr>
  </property>
  <property fmtid="{D5CDD505-2E9C-101B-9397-08002B2CF9AE}" pid="12" name="MSIP_Label_f1bf45b6-5649-4236-82a3-f45024cd282e_Name">
    <vt:lpwstr>Official Use Only</vt:lpwstr>
  </property>
  <property fmtid="{D5CDD505-2E9C-101B-9397-08002B2CF9AE}" pid="13" name="MSIP_Label_f1bf45b6-5649-4236-82a3-f45024cd282e_SiteId">
    <vt:lpwstr>31a2fec0-266b-4c67-b56e-2796d8f59c36</vt:lpwstr>
  </property>
  <property fmtid="{D5CDD505-2E9C-101B-9397-08002B2CF9AE}" pid="14" name="MSIP_Label_f1bf45b6-5649-4236-82a3-f45024cd282e_ActionId">
    <vt:lpwstr>799631bf-ead3-4deb-8820-04d48376e72e</vt:lpwstr>
  </property>
  <property fmtid="{D5CDD505-2E9C-101B-9397-08002B2CF9AE}" pid="15" name="MSIP_Label_f1bf45b6-5649-4236-82a3-f45024cd282e_ContentBits">
    <vt:lpwstr>2</vt:lpwstr>
  </property>
  <property fmtid="{D5CDD505-2E9C-101B-9397-08002B2CF9AE}" pid="16" name="MSIP_Label_f1bf45b6-5649-4236-82a3-f45024cd282e_Tag">
    <vt:lpwstr>10, 3, 0, 1</vt:lpwstr>
  </property>
  <property fmtid="{D5CDD505-2E9C-101B-9397-08002B2CF9AE}" pid="17" name="WBDocs_Local_Document_Type">
    <vt:lpwstr/>
  </property>
  <property fmtid="{D5CDD505-2E9C-101B-9397-08002B2CF9AE}" pid="18" name="MediaServiceImageTags">
    <vt:lpwstr/>
  </property>
  <property fmtid="{D5CDD505-2E9C-101B-9397-08002B2CF9AE}" pid="19" name="lcf76f155ced4ddcb4097134ff3c332f">
    <vt:lpwstr/>
  </property>
  <property fmtid="{D5CDD505-2E9C-101B-9397-08002B2CF9AE}" pid="20" name="WBDocs_Originating_Unit">
    <vt:lpwstr>5;#EACCF - WB Off: Beijing|2435c311-dfa9-4ae1-8e70-c51f57abf81a</vt:lpwstr>
  </property>
  <property fmtid="{D5CDD505-2E9C-101B-9397-08002B2CF9AE}" pid="21" name="docLangLocale">
    <vt:lpwstr>zh-hans</vt:lpwstr>
  </property>
  <property fmtid="{D5CDD505-2E9C-101B-9397-08002B2CF9AE}" pid="22" name="docLang">
    <vt:lpwstr>zh</vt:lpwstr>
  </property>
</Properties>
</file>