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087AF">
      <w:pPr>
        <w:widowControl/>
        <w:jc w:val="center"/>
        <w:outlineLvl w:val="0"/>
        <w:rPr>
          <w:rFonts w:ascii="Times New Roman" w:hAnsi="Times New Roman" w:eastAsia="方正小标宋简体" w:cs="宋体"/>
          <w:bCs/>
          <w:sz w:val="30"/>
          <w:szCs w:val="30"/>
          <w:highlight w:val="none"/>
        </w:rPr>
      </w:pPr>
      <w:r>
        <w:rPr>
          <w:rFonts w:hint="eastAsia" w:ascii="Times New Roman" w:hAnsi="Times New Roman" w:eastAsia="方正小标宋简体" w:cs="宋体"/>
          <w:bCs/>
          <w:sz w:val="30"/>
          <w:szCs w:val="30"/>
          <w:highlight w:val="none"/>
        </w:rPr>
        <w:t>世界银行 中国市场伙伴实施基金赠款项目（P504267）</w:t>
      </w:r>
    </w:p>
    <w:p w14:paraId="0F1DCDF3">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“加强国家ETS配额管理及MRV体系优化行业活动</w:t>
      </w:r>
    </w:p>
    <w:p w14:paraId="4B40A3E1">
      <w:pPr>
        <w:widowControl/>
        <w:jc w:val="center"/>
        <w:outlineLvl w:val="0"/>
        <w:rPr>
          <w:rFonts w:ascii="方正小标宋简体" w:hAnsi="Calibri Light" w:eastAsia="方正小标宋简体" w:cs="宋体"/>
          <w:bCs/>
          <w:sz w:val="30"/>
          <w:szCs w:val="30"/>
          <w:highlight w:val="none"/>
        </w:rPr>
      </w:pPr>
      <w:r>
        <w:rPr>
          <w:rFonts w:hint="eastAsia" w:ascii="方正小标宋简体" w:hAnsi="Calibri Light" w:eastAsia="方正小标宋简体" w:cs="宋体"/>
          <w:bCs/>
          <w:sz w:val="30"/>
          <w:szCs w:val="30"/>
          <w:highlight w:val="none"/>
        </w:rPr>
        <w:t>-石化行业”咨询服务</w:t>
      </w:r>
    </w:p>
    <w:p w14:paraId="09DBBD31">
      <w:pPr>
        <w:jc w:val="center"/>
        <w:rPr>
          <w:rFonts w:ascii="Times New Roman" w:hAnsi="Times New Roman" w:eastAsia="方正小标宋简体" w:cs="Times New Roman"/>
          <w:sz w:val="32"/>
          <w:szCs w:val="32"/>
          <w:highlight w:val="none"/>
        </w:rPr>
      </w:pPr>
      <w:r>
        <w:rPr>
          <w:rFonts w:hint="eastAsia" w:ascii="方正小标宋简体" w:hAnsi="Calibri Light" w:eastAsia="方正小标宋简体" w:cs="宋体"/>
          <w:bCs/>
          <w:sz w:val="30"/>
          <w:szCs w:val="30"/>
          <w:highlight w:val="none"/>
        </w:rPr>
        <w:t>工作任务大纲（</w:t>
      </w:r>
      <w:r>
        <w:rPr>
          <w:rFonts w:ascii="Times New Roman" w:hAnsi="Times New Roman" w:eastAsia="方正小标宋简体" w:cs="Times New Roman"/>
          <w:bCs/>
          <w:sz w:val="30"/>
          <w:szCs w:val="30"/>
          <w:highlight w:val="none"/>
        </w:rPr>
        <w:t>PMI-</w:t>
      </w:r>
      <w:r>
        <w:rPr>
          <w:rFonts w:hint="eastAsia" w:ascii="Times New Roman" w:hAnsi="Times New Roman" w:eastAsia="方正小标宋简体" w:cs="Times New Roman"/>
          <w:bCs/>
          <w:sz w:val="30"/>
          <w:szCs w:val="30"/>
          <w:highlight w:val="none"/>
        </w:rPr>
        <w:t>6-CQS</w:t>
      </w:r>
      <w:r>
        <w:rPr>
          <w:rFonts w:hint="eastAsia" w:ascii="方正小标宋简体" w:hAnsi="Calibri Light" w:eastAsia="方正小标宋简体" w:cs="宋体"/>
          <w:bCs/>
          <w:sz w:val="30"/>
          <w:szCs w:val="30"/>
          <w:highlight w:val="none"/>
        </w:rPr>
        <w:t>）</w:t>
      </w:r>
    </w:p>
    <w:p w14:paraId="6BE4B04B">
      <w:pPr>
        <w:jc w:val="center"/>
        <w:rPr>
          <w:rFonts w:ascii="Times New Roman" w:hAnsi="Times New Roman" w:eastAsia="宋体" w:cs="Times New Roman"/>
          <w:b/>
          <w:bCs/>
          <w:sz w:val="24"/>
          <w:szCs w:val="28"/>
          <w:highlight w:val="none"/>
        </w:rPr>
      </w:pPr>
    </w:p>
    <w:p w14:paraId="0BA754B5">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一、项目背景和意义</w:t>
      </w:r>
    </w:p>
    <w:p w14:paraId="3B4D24DF">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为推动中国碳排放权交易市场与温室气体自愿减排交易市场的高质量发展及不断完善，世界银行与生态环境部合作开展“中国市场伙伴实施基金项目”活动。该项目旨在支持中国国家层面碳定价工具的优化设计、实施与管理能力提升，项目将优化完善全国碳排放权交易市场（ETS）与国家核证自愿减排量（CCER）体系，开展国内碳市场与《巴黎协定》第六条下国际碳交易实现衔接兼容的研究，分析引入碳税以补充ETS的可行性等。生态环境部对外合作与交流中心（FECO）受委托作为项目管理办公室（PMO），负责统筹项目实施工作。</w:t>
      </w:r>
    </w:p>
    <w:p w14:paraId="5C62581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中国的碳市场由全国碳排放权交易市场和全国温室气体自愿减排交易市场共同组成。作为全球覆盖排放量最大的碳市场，全国碳排放权交易市场自2021年7月以发电行业为突破口启动上线交易，经过数个履约周期的建设，总体运行平稳，制度规范日趋完善，碳排放数据质量持续改善，价格发现机制作用逐步显现。2025年，经国务院批准，钢铁、水泥、铝冶炼行业正式纳入全国碳排放权交易市场管理。全国温室气体自愿减排交易市场于2024年1月启动，制度体系、方法学、支撑系统及监管体系正逐步完善。</w:t>
      </w:r>
    </w:p>
    <w:p w14:paraId="7E21D63D">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2024年，国务院发布《碳排放权交易管理暂行条例》（国务院令第775号），为全国碳市场运行确立了统一的法律与制度框架。2025年8月，中共中央办公厅、国务院办公厅发布《关于推进绿色低碳转型加强全国碳市场建设的意见》（以下简称《意见》），提出到2027年对碳排放总量相对稳定的行业优先实施配额总量控制，稳妥推行免费和有偿相结合的碳排放配额分配方式，有序提高有偿分配比例；到2030年，基本建成以配额总量控制为基础、免费和有偿分配相结合的全国碳排放权交易市场。2026年，《中华人民共和国国民经济和社会发展第十五个五年规划纲要》（以下简称《纲要》）颁布实施，明确提出全面实施碳排放总量和强度双控制度，坚持政策引导和市场激励相结合，稳步实施地方碳考核、行业碳管控、企业碳管理、项目碳评价、产品碳足迹等政策制度。《纲要》同时要求扩大全国碳排放权交易市场覆盖范围，推动重点领域节能降碳。按照上述部署，生态环境部已启动化工、石化、民航、造纸等行业扩围前期准备工作，对相关行业企业碳排放报告进行收集整理和核查，并加快编制配额分配方案、核算报告指南、核查技术指南等配套技术文件。</w:t>
      </w:r>
    </w:p>
    <w:p w14:paraId="3112A45E">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石化行业是指以石油、天然气为原料生产石油产品和石油化工产品的企业。石化行业是我国国民经济的重要支柱产业，也是碳排放重点行业之一。石化行业工艺流程复杂，温室气体排放源多样，涵盖燃料燃烧排放、火炬燃烧排放、工艺过程排放及电力热力间接排放等不同类型。不同生产环节和装置（如常减压、催化裂化、连续重整、蒸汽裂解等）的核算边界、排放因子和监测方法存在一定差异，行业在碳市场扩围中面临较为复杂的管理要求。</w:t>
      </w:r>
    </w:p>
    <w:p w14:paraId="5ECCABD8">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当前，石化行业正处于碳市场扩围的关键准备期。在配额管理方面，行业尚未建立正式的配额分配机制，需结合国际经验和国内已纳入行业（如发电、钢铁、铝冶炼、水泥）的配额分配实践，研究提出适合石化行业工艺特点的配额分配方案，并前瞻性地考虑《意见》明确的配额总量控制、有偿分配等制度转型方向。在监测、报告与核查（MRV）体系方面，现行核算与报告指南已在多年核查实践中得到检验，但存在核算边界、参数链条、排放因子等方面的相关问题及难点，需结合国际经验和企业实际进行优化完善。</w:t>
      </w:r>
    </w:p>
    <w:p w14:paraId="7BE5CEED">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为贯彻落实国家关于逐步扩大全国碳排放权交易市场覆盖范围的决策部署，保障石化行业未来平稳有序纳入全国碳排放权交易市场，需提前开展系统性研究。通过分析石化行业的碳排放特征、工艺流程及数据管理基础，评估现有核算与报告指南的适用性，研究提出符合行业实际的配额分配方案建议，探索构建与全国碳市场相衔接的MRV体系，并为适应配额总量控制及有偿分配等中长期制度转型提供技术储备，推动碳市场扩围工作顺利实施。</w:t>
      </w:r>
    </w:p>
    <w:p w14:paraId="5E7FCD20">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二、总体目标</w:t>
      </w:r>
    </w:p>
    <w:p w14:paraId="7E098B35">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旨在聚焦石化行业的碳排放管理特点，从行业技术层面为全国碳排放权交易市场的扩围工作提供支撑。通过系统梳理石化行业的工艺流程、碳排放源及数据管理现状，结合国际经验和国内已纳入行业的工作实践，识别现行核算与报告体系在预期配额管理、技术规范、执行流程等方面与行业实际存在的差距，从行业角度提出兼具科学性、公平性与可操作性的配额管理制度建议及MRV体系优化措施。同时，前瞻性考虑配额总量控制及有偿分配等制度转型方向，为石化行业平稳有序纳入全国碳排放权交易市场并适应中长期制度发展提供技术储备和政策参考。</w:t>
      </w:r>
    </w:p>
    <w:p w14:paraId="1C47B94B">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三、工作内容及要求</w:t>
      </w:r>
    </w:p>
    <w:p w14:paraId="78B7978C">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3.1 总体工作范围</w:t>
      </w:r>
    </w:p>
    <w:p w14:paraId="3A83A5CB">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分包任务从行业技术层面，围绕石化行业纳入全国碳排放权交易市场的关键问题开展研究：分析梳理行业发展现状、碳排放特征及数据管理基础，深入了解企业在未来纳入碳市场过程中可能面临的技术困难与政策诉求，综合考虑主管部门在政策执行中的意见与建议，结合国际碳市场及国内已纳入行业的经验，形成行业需求分析报告；在此基础上，研究提出符合石化行业工艺特点的配额分配方案，并前瞻性考虑配额总量控制、有偿分配等制度转型方向，为未来配额管理提供技术储备；同时，评估现行核算与报告指南的可操作性及其与全国碳排放权交易市场要求的匹配度，结合行业发展动态，提出MRV体系优化改进建议。</w:t>
      </w:r>
    </w:p>
    <w:p w14:paraId="3CFF008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本任务需在项目办统一协调下，与PMI-3</w:t>
      </w:r>
      <w:r>
        <w:rPr>
          <w:rStyle w:val="27"/>
          <w:rFonts w:hint="eastAsia" w:ascii="Times New Roman" w:hAnsi="Times New Roman" w:eastAsia="仿宋" w:cs="Times New Roman"/>
          <w:sz w:val="28"/>
          <w:szCs w:val="28"/>
          <w:highlight w:val="none"/>
        </w:rPr>
        <w:footnoteReference w:id="0"/>
      </w:r>
      <w:r>
        <w:rPr>
          <w:rFonts w:hint="eastAsia" w:ascii="Times New Roman" w:hAnsi="Times New Roman" w:eastAsia="仿宋" w:cs="Times New Roman"/>
          <w:sz w:val="28"/>
          <w:szCs w:val="28"/>
          <w:highlight w:val="none"/>
        </w:rPr>
        <w:t>、PMI-4</w:t>
      </w:r>
      <w:r>
        <w:rPr>
          <w:rStyle w:val="27"/>
          <w:rFonts w:hint="eastAsia" w:ascii="Times New Roman" w:hAnsi="Times New Roman" w:eastAsia="仿宋" w:cs="Times New Roman"/>
          <w:sz w:val="28"/>
          <w:szCs w:val="28"/>
          <w:highlight w:val="none"/>
        </w:rPr>
        <w:footnoteReference w:id="1"/>
      </w:r>
      <w:r>
        <w:rPr>
          <w:rFonts w:hint="eastAsia" w:ascii="Times New Roman" w:hAnsi="Times New Roman" w:eastAsia="仿宋" w:cs="Times New Roman"/>
          <w:sz w:val="28"/>
          <w:szCs w:val="28"/>
          <w:highlight w:val="none"/>
        </w:rPr>
        <w:t>及PMI-17</w:t>
      </w:r>
      <w:r>
        <w:rPr>
          <w:rStyle w:val="27"/>
          <w:rFonts w:hint="eastAsia" w:ascii="Times New Roman" w:hAnsi="Times New Roman" w:eastAsia="仿宋" w:cs="Times New Roman"/>
          <w:sz w:val="28"/>
          <w:szCs w:val="28"/>
          <w:highlight w:val="none"/>
        </w:rPr>
        <w:footnoteReference w:id="2"/>
      </w:r>
      <w:r>
        <w:rPr>
          <w:rFonts w:hint="eastAsia" w:ascii="Times New Roman" w:hAnsi="Times New Roman" w:eastAsia="仿宋" w:cs="Times New Roman"/>
          <w:sz w:val="28"/>
          <w:szCs w:val="28"/>
          <w:highlight w:val="none"/>
        </w:rPr>
        <w:t>等其他分包任务承担单位保持技术协作与信息共享，确保研究成果的系统性与一致性。</w:t>
      </w:r>
    </w:p>
    <w:p w14:paraId="6EC65EC0">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3.2 任务要求描述</w:t>
      </w:r>
    </w:p>
    <w:p w14:paraId="5C8B7F83">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3.2.1 石化行业动态与诉求调研</w:t>
      </w:r>
    </w:p>
    <w:p w14:paraId="2F622774">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通过文献研究、调研访谈等方式，系统了解石化行业在配额管理及MRV实施方面的实际运行情况和企业需求，借鉴国际先进经验及国内已纳入行业的实践，形成《石化行业配额管理及MRV需求分析报告》，为后续配额方案研究和MRV优化提供实证基础和国际参照。内容包括但不限于：</w:t>
      </w:r>
    </w:p>
    <w:p w14:paraId="50D8E799">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a. 国际国内经验对比分析：研究国际主要碳市场（如欧盟ETS、美国加州ETS、英国ETS、韩国ETS等）石化行业在配额管理（总量控制、有偿分配、基准值设定、拍卖收入使用等）及MRV体系（核算方法、数据质量控制、连续监测系统应用、核查机制等）方面的制度设计与实践经验，评估我国石化行业现行配额管理及MRV体系（包括地方试点碳市场）与国际最佳实践的差距与可借鉴之处。同时，总结国内已纳入行业（如发电、钢铁、铝冶炼、水泥）在配额分配和MRV实施中的经验教训，识别可借鉴的最佳实践与需规避的潜在问题，为石化行业配额方案设计及MRV体系优化提供参照。</w:t>
      </w:r>
    </w:p>
    <w:p w14:paraId="64C5EBD2">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b. 行业发展动态梳理：系统梳理石化行业近年的产业发展现状与趋势，重点关注行业能源消费结构、能效水平、清洁生产技术应用、碳排放强度等关键指标的变化态势。分析行业区域分布特征，识别不同生产类型企业的碳排放特点与差异，为配额分配方案参数设定及MRV体系优化提供行业支撑。</w:t>
      </w:r>
    </w:p>
    <w:p w14:paraId="7086A59A">
      <w:pPr>
        <w:pStyle w:val="2"/>
        <w:rPr>
          <w:rFonts w:eastAsia="仿宋"/>
          <w:sz w:val="28"/>
          <w:szCs w:val="28"/>
          <w:highlight w:val="none"/>
        </w:rPr>
      </w:pPr>
      <w:r>
        <w:rPr>
          <w:rFonts w:hint="eastAsia" w:eastAsia="仿宋"/>
          <w:sz w:val="28"/>
          <w:szCs w:val="28"/>
          <w:highlight w:val="none"/>
        </w:rPr>
        <w:t>c. 企业和主管部门诉求访谈：面向不同类型、规模、工艺路线的石化生产企业（涵盖炼化一体化、独立炼厂等主要企业），通过问卷调研与典型</w:t>
      </w:r>
      <w:r>
        <w:rPr>
          <w:rStyle w:val="26"/>
          <w:rFonts w:hint="eastAsia" w:eastAsia="仿宋"/>
          <w:sz w:val="28"/>
          <w:szCs w:val="28"/>
          <w:highlight w:val="none"/>
          <w:lang w:eastAsia="zh-CN"/>
        </w:rPr>
        <w:t>企业现场调研</w:t>
      </w:r>
      <w:r>
        <w:rPr>
          <w:rFonts w:hint="eastAsia" w:eastAsia="仿宋"/>
          <w:sz w:val="28"/>
          <w:szCs w:val="28"/>
          <w:highlight w:val="none"/>
        </w:rPr>
        <w:t>相结合的方式，系统了解企业在配额管理</w:t>
      </w:r>
      <w:r>
        <w:rPr>
          <w:rFonts w:hint="eastAsia" w:eastAsia="仿宋"/>
          <w:sz w:val="28"/>
          <w:szCs w:val="28"/>
          <w:highlight w:val="none"/>
          <w:lang w:eastAsia="zh-CN"/>
        </w:rPr>
        <w:t>方面的</w:t>
      </w:r>
      <w:r>
        <w:rPr>
          <w:rFonts w:hint="eastAsia" w:eastAsia="仿宋"/>
          <w:sz w:val="28"/>
          <w:szCs w:val="28"/>
          <w:highlight w:val="none"/>
        </w:rPr>
        <w:t>政策诉求以及MRV实施（如数据监测规范性、核算边界清晰度、核查服务质量、新技术应用需求等）方面的技术困难（承担单位应在项目建议书中明确提出拟调研的企业数量、选点依据及覆盖说明）。同时，面向国家及地方生态环境主管部门，通过专题座谈与调研访谈相结合的方式，了解主管部门在石化行业碳排放数据管理、核算指南执行、核查监管等方面的实际运行经验与改进建议，形成石化行业配额管理及MRV需求分析报告。</w:t>
      </w:r>
    </w:p>
    <w:p w14:paraId="004EFB74">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3.2.2 石化行业配额管理机制前瞻性研究</w:t>
      </w:r>
    </w:p>
    <w:p w14:paraId="722FE647">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结合国际经验和国内已纳入行业实践，在PMO统一协调下，充分听取PMI-3分包承担单位的指导意见，研究石化行业纳入全国碳排放权交易市场后的配额分配方案，并前瞻性考虑总量控制及有偿分配等制度转型方向，形成《石化行业配额管理制度前瞻性研究报告》。内容包括但不限于：</w:t>
      </w:r>
    </w:p>
    <w:p w14:paraId="682F7BC9">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a</w:t>
      </w:r>
      <w:r>
        <w:rPr>
          <w:rFonts w:hint="eastAsia" w:ascii="Times New Roman" w:hAnsi="Times New Roman" w:eastAsia="仿宋" w:cs="Times New Roman"/>
          <w:sz w:val="28"/>
          <w:szCs w:val="28"/>
          <w:highlight w:val="none"/>
        </w:rPr>
        <w:t>. 配额分配方案研究：</w:t>
      </w:r>
      <w:r>
        <w:rPr>
          <w:rFonts w:hint="eastAsia" w:ascii="Times New Roman" w:hAnsi="Times New Roman" w:eastAsia="仿宋" w:cs="Times New Roman"/>
          <w:sz w:val="28"/>
          <w:szCs w:val="28"/>
          <w:highlight w:val="none"/>
          <w:lang w:eastAsia="zh-CN"/>
        </w:rPr>
        <w:t>简要</w:t>
      </w:r>
      <w:r>
        <w:rPr>
          <w:rFonts w:hint="eastAsia" w:ascii="Times New Roman" w:hAnsi="Times New Roman" w:eastAsia="仿宋" w:cs="Times New Roman"/>
          <w:sz w:val="28"/>
          <w:szCs w:val="28"/>
          <w:highlight w:val="none"/>
        </w:rPr>
        <w:t>研究已纳入行业（如发电、钢铁、铝冶炼、水泥）在配额分配中遇到的共性问题，分析其对石化行业的借鉴意义。研究石化行业配额分配的关键要素设计，包括配额边界的合理界定、配额分配方式（基准法或历史法等）的选择与适用条件、基准值的设定方法、特殊情形的处理规则。结合国内已纳入行业的平衡值</w:t>
      </w:r>
      <w:r>
        <w:rPr>
          <w:rStyle w:val="27"/>
          <w:rFonts w:hint="eastAsia" w:ascii="Times New Roman" w:hAnsi="Times New Roman" w:eastAsia="仿宋" w:cs="Times New Roman"/>
          <w:sz w:val="28"/>
          <w:szCs w:val="28"/>
          <w:highlight w:val="none"/>
        </w:rPr>
        <w:footnoteReference w:id="3"/>
      </w:r>
      <w:r>
        <w:rPr>
          <w:rFonts w:hint="eastAsia" w:ascii="Times New Roman" w:hAnsi="Times New Roman" w:eastAsia="仿宋" w:cs="Times New Roman"/>
          <w:sz w:val="28"/>
          <w:szCs w:val="28"/>
          <w:highlight w:val="none"/>
        </w:rPr>
        <w:t>或基准值的设定经验，提出石化行业配额分配方案的制定建议及纳入碳排放权交易市场的实施路径</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该实施路径研究内容至少包括</w:t>
      </w:r>
      <w:r>
        <w:rPr>
          <w:rFonts w:hint="eastAsia" w:ascii="Times New Roman" w:hAnsi="Times New Roman" w:eastAsia="仿宋" w:cs="Times New Roman"/>
          <w:sz w:val="28"/>
          <w:szCs w:val="28"/>
          <w:highlight w:val="none"/>
          <w:lang w:eastAsia="zh-CN"/>
        </w:rPr>
        <w:t>石化行业</w:t>
      </w:r>
      <w:r>
        <w:rPr>
          <w:rFonts w:hint="eastAsia" w:ascii="Times New Roman" w:hAnsi="Times New Roman" w:eastAsia="仿宋" w:cs="Times New Roman"/>
          <w:sz w:val="28"/>
          <w:szCs w:val="28"/>
          <w:highlight w:val="none"/>
        </w:rPr>
        <w:t>纳入ETS市场的关键前置条件与制度准备等</w:t>
      </w:r>
      <w:r>
        <w:rPr>
          <w:rFonts w:hint="eastAsia" w:ascii="Times New Roman" w:hAnsi="Times New Roman" w:eastAsia="仿宋" w:cs="Times New Roman"/>
          <w:sz w:val="28"/>
          <w:szCs w:val="28"/>
          <w:highlight w:val="none"/>
          <w:lang w:eastAsia="zh-CN"/>
        </w:rPr>
        <w:t>）</w:t>
      </w:r>
      <w:r>
        <w:rPr>
          <w:rFonts w:hint="eastAsia" w:ascii="Times New Roman" w:hAnsi="Times New Roman" w:eastAsia="仿宋" w:cs="Times New Roman"/>
          <w:sz w:val="28"/>
          <w:szCs w:val="28"/>
          <w:highlight w:val="none"/>
        </w:rPr>
        <w:t>。同时，前瞻性研究有偿配额与免费配额相结合的设计结构，探索有偿分配比例的有序提升路径及其对行业的影响，并考虑《意见》明确的配额总量控制方向，研究行业中长期制度转型的可能路径及其对配额方案设计的影响。</w:t>
      </w:r>
    </w:p>
    <w:p w14:paraId="6B773AAA">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b</w:t>
      </w:r>
      <w:r>
        <w:rPr>
          <w:rFonts w:hint="eastAsia" w:ascii="Times New Roman" w:hAnsi="Times New Roman" w:eastAsia="仿宋" w:cs="Times New Roman"/>
          <w:sz w:val="28"/>
          <w:szCs w:val="28"/>
          <w:highlight w:val="none"/>
        </w:rPr>
        <w:t>. 企业应对策略分析：分析石化行业纳入全国碳排放权交易市场后，不同类型企业可能面临的配额约束及应对策略，包括但不限于：优化生产工艺、提高能效、调整原料结构、开展碳资产管理、参与碳市场交易等。同时，前瞻性研究在配额总量控制及有偿分配制度下，企业中长期减排路径选择、碳成本管理及低碳技术投资策略，为企业提前布局碳市场提供参考。</w:t>
      </w:r>
    </w:p>
    <w:p w14:paraId="360F181E">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lang w:val="en-US" w:eastAsia="zh-CN"/>
        </w:rPr>
        <w:t>c</w:t>
      </w:r>
      <w:r>
        <w:rPr>
          <w:rFonts w:hint="eastAsia" w:ascii="Times New Roman" w:hAnsi="Times New Roman" w:eastAsia="仿宋" w:cs="Times New Roman"/>
          <w:sz w:val="28"/>
          <w:szCs w:val="28"/>
          <w:highlight w:val="none"/>
        </w:rPr>
        <w:t>. 配额分配方案制定建议：综合上述研究，提出石化行业配额分配方案的制定建议，为未来行业纳入全国碳排放权交易市场后的配额分配工作提供技术储备。同时，配合PMO参与配额管理相关交流会，就行业政策动向、行业发展现状及最新动态开展深入交流。</w:t>
      </w:r>
    </w:p>
    <w:p w14:paraId="47859AD8">
      <w:pPr>
        <w:ind w:firstLine="562" w:firstLineChars="20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3.2.3 石化行业MRV体系优化研究</w:t>
      </w:r>
    </w:p>
    <w:p w14:paraId="06D95973">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项任务旨在系统诊断石化行业MRV体系运行中的主要难点，在PMO的统一协调下，综合考虑PMI-4及PMI-17分包承担单位的指导意见，借鉴国际经验及国内已纳入行业实践，提出优化改进建议，形成《石化行业MRV体系改进建议报告》。内容包括但不限于：</w:t>
      </w:r>
    </w:p>
    <w:p w14:paraId="6F9ECA78">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a. 碳排放核算难点诊断：系统梳理石化行业现行技术指南在实际执行中的主要难点，结合石化行业工艺流程和排放源特点，重点分析核算边界的清晰度、排放源的完整性、活动水平数据获取方式与质量保证、排放因子的实测与缺省值使用规则、数据质量控制计划的完整性与可操作性等。研究应兼顾企业执行层面和第三方核查机构在实际操作中遇到的共性问题。</w:t>
      </w:r>
    </w:p>
    <w:p w14:paraId="6D230564">
      <w:pPr>
        <w:pStyle w:val="2"/>
        <w:rPr>
          <w:rFonts w:eastAsia="仿宋"/>
          <w:sz w:val="28"/>
          <w:szCs w:val="28"/>
          <w:highlight w:val="none"/>
        </w:rPr>
      </w:pPr>
      <w:r>
        <w:rPr>
          <w:rFonts w:hint="eastAsia" w:eastAsia="仿宋"/>
          <w:sz w:val="28"/>
          <w:szCs w:val="28"/>
          <w:highlight w:val="none"/>
        </w:rPr>
        <w:t>b. 数据质量控制与创新技术应用研究：研究石化企业碳排放数据质量控制的实施情况，包括计量器具配备与管理、实验室检测分析能力及数据报送质量现状等，评估现行数据质量管理体系与全国碳排放权交易市场数据质量要求的差距。同时，梳理分析国内外石化行业在碳排放数据管理相关创新技术应用情况，例如：在线烟气连续监测系统、物料智能计量系统、区块链数据存证、AI辅助排放因子测算，评估创新技术的成熟度、应用效果及其对提升数据质量控制的潜力。</w:t>
      </w:r>
    </w:p>
    <w:p w14:paraId="74F3E631">
      <w:pPr>
        <w:pStyle w:val="2"/>
        <w:rPr>
          <w:rFonts w:eastAsia="仿宋"/>
          <w:sz w:val="28"/>
          <w:szCs w:val="28"/>
          <w:highlight w:val="none"/>
        </w:rPr>
      </w:pPr>
      <w:r>
        <w:rPr>
          <w:rFonts w:hint="eastAsia" w:eastAsia="仿宋"/>
          <w:sz w:val="28"/>
          <w:szCs w:val="28"/>
          <w:highlight w:val="none"/>
        </w:rPr>
        <w:t>c. 面向制度转型的MRV支持能力分析：前瞻性分析石化行业现行MRV体系对未来配额总量控制及有偿分配实施的支撑能力，提出适应制度转型的MRV改进方向与实施路径。</w:t>
      </w:r>
      <w:r>
        <w:rPr>
          <w:rFonts w:eastAsia="仿宋"/>
          <w:sz w:val="28"/>
          <w:szCs w:val="28"/>
          <w:highlight w:val="none"/>
        </w:rPr>
        <w:t>内容包括但不限于：核算指南修订建议、核查工作改进意见、数据质量保障机制强化路径、全国碳市场平台优化及新型监测技术推荐应用等</w:t>
      </w:r>
      <w:r>
        <w:rPr>
          <w:rFonts w:hint="eastAsia" w:eastAsia="仿宋"/>
          <w:sz w:val="28"/>
          <w:szCs w:val="28"/>
          <w:highlight w:val="none"/>
        </w:rPr>
        <w:t>。</w:t>
      </w:r>
    </w:p>
    <w:p w14:paraId="61D9EA4D">
      <w:pPr>
        <w:pStyle w:val="2"/>
        <w:rPr>
          <w:rFonts w:eastAsia="仿宋"/>
          <w:sz w:val="28"/>
          <w:szCs w:val="28"/>
          <w:highlight w:val="none"/>
        </w:rPr>
      </w:pPr>
      <w:r>
        <w:rPr>
          <w:rFonts w:hint="eastAsia" w:eastAsia="仿宋"/>
          <w:sz w:val="28"/>
          <w:szCs w:val="28"/>
          <w:highlight w:val="none"/>
        </w:rPr>
        <w:t>d. 石化行业MRV体系优化建议：综合上述分析，系统提出石化行业MRV体系优化改进建议。同时，配合PMO参与MRV体系优化相关交流会，就行业政策动向、行业发展现状及最新动态开展深入交流。</w:t>
      </w:r>
    </w:p>
    <w:p w14:paraId="3018CEFE">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四、预计交付成果</w:t>
      </w:r>
    </w:p>
    <w:p w14:paraId="647B319A">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本项目预计成果包括：</w:t>
      </w:r>
    </w:p>
    <w:p w14:paraId="47C902F1">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4.1 《石化行业配额管理及MRV需求分析报告》</w:t>
      </w:r>
    </w:p>
    <w:p w14:paraId="57889AD1">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4.2 《石化行业配额管理制度前瞻性研究报告》</w:t>
      </w:r>
    </w:p>
    <w:p w14:paraId="7E0C1C89">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4.3 《石化行业MRV体系改进建议报告》</w:t>
      </w:r>
    </w:p>
    <w:p w14:paraId="236033FD">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本分包合同所有交付成果应与相关利益方进行磋商，并按照PMO提供的环境与社会相关工具包形成磋商纪要（至少包括人员、内容及照片）、意见反馈及采纳情况，并按要求提交进展报告。</w:t>
      </w:r>
    </w:p>
    <w:p w14:paraId="762B8F82">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highlight w:val="none"/>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本分包合同所有</w:t>
      </w:r>
      <w:r>
        <w:rPr>
          <w:rFonts w:ascii="Times New Roman" w:hAnsi="Times New Roman" w:eastAsia="仿宋" w:cs="Times New Roman"/>
          <w:color w:val="000000" w:themeColor="text1"/>
          <w:sz w:val="28"/>
          <w:szCs w:val="28"/>
          <w:highlight w:val="none"/>
          <w14:textFill>
            <w14:solidFill>
              <w14:schemeClr w14:val="tx1"/>
            </w14:solidFill>
          </w14:textFill>
        </w:rPr>
        <w:t>交付成果</w:t>
      </w:r>
      <w:r>
        <w:rPr>
          <w:rFonts w:hint="eastAsia" w:ascii="Times New Roman" w:hAnsi="Times New Roman" w:eastAsia="仿宋" w:cs="Times New Roman"/>
          <w:sz w:val="28"/>
          <w:szCs w:val="28"/>
          <w:highlight w:val="none"/>
        </w:rPr>
        <w:t>均须以中英文双语形式提交，如表述出现不一致或矛盾，以中文为准。</w:t>
      </w:r>
    </w:p>
    <w:p w14:paraId="6A2C08D7">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ascii="Times New Roman" w:hAnsi="Times New Roman" w:eastAsia="仿宋" w:cs="Times New Roman"/>
          <w:color w:val="000000" w:themeColor="text1"/>
          <w:sz w:val="28"/>
          <w:szCs w:val="28"/>
          <w:highlight w:val="none"/>
          <w14:textFill>
            <w14:solidFill>
              <w14:schemeClr w14:val="tx1"/>
            </w14:solidFill>
          </w14:textFill>
        </w:rPr>
        <w:t>本</w:t>
      </w:r>
      <w:r>
        <w:rPr>
          <w:rFonts w:hint="eastAsia" w:ascii="Times New Roman" w:hAnsi="Times New Roman" w:eastAsia="仿宋" w:cs="Times New Roman"/>
          <w:color w:val="000000" w:themeColor="text1"/>
          <w:sz w:val="28"/>
          <w:szCs w:val="28"/>
          <w:highlight w:val="none"/>
          <w14:textFill>
            <w14:solidFill>
              <w14:schemeClr w14:val="tx1"/>
            </w14:solidFill>
          </w14:textFill>
        </w:rPr>
        <w:t>分包</w:t>
      </w:r>
      <w:r>
        <w:rPr>
          <w:rFonts w:ascii="Times New Roman" w:hAnsi="Times New Roman" w:eastAsia="仿宋" w:cs="Times New Roman"/>
          <w:color w:val="000000" w:themeColor="text1"/>
          <w:sz w:val="28"/>
          <w:szCs w:val="28"/>
          <w:highlight w:val="none"/>
          <w14:textFill>
            <w14:solidFill>
              <w14:schemeClr w14:val="tx1"/>
            </w14:solidFill>
          </w14:textFill>
        </w:rPr>
        <w:t>合同的交付成果将为实现以下</w:t>
      </w:r>
      <w:r>
        <w:rPr>
          <w:rFonts w:hint="eastAsia" w:ascii="Times New Roman" w:hAnsi="Times New Roman" w:eastAsia="仿宋" w:cs="Times New Roman"/>
          <w:color w:val="000000" w:themeColor="text1"/>
          <w:sz w:val="28"/>
          <w:szCs w:val="28"/>
          <w:highlight w:val="none"/>
          <w14:textFill>
            <w14:solidFill>
              <w14:schemeClr w14:val="tx1"/>
            </w14:solidFill>
          </w14:textFill>
        </w:rPr>
        <w:t>项目文件</w:t>
      </w:r>
      <w:r>
        <w:rPr>
          <w:rStyle w:val="27"/>
          <w:rFonts w:hint="eastAsia" w:ascii="Times New Roman" w:hAnsi="Times New Roman" w:eastAsia="仿宋" w:cs="Times New Roman"/>
          <w:color w:val="000000" w:themeColor="text1"/>
          <w:sz w:val="28"/>
          <w:szCs w:val="28"/>
          <w:highlight w:val="none"/>
          <w14:textFill>
            <w14:solidFill>
              <w14:schemeClr w14:val="tx1"/>
            </w14:solidFill>
          </w14:textFill>
        </w:rPr>
        <w:footnoteReference w:id="4"/>
      </w:r>
      <w:r>
        <w:rPr>
          <w:rFonts w:hint="eastAsia" w:ascii="Times New Roman" w:hAnsi="Times New Roman" w:eastAsia="仿宋" w:cs="Times New Roman"/>
          <w:color w:val="000000" w:themeColor="text1"/>
          <w:sz w:val="28"/>
          <w:szCs w:val="28"/>
          <w:highlight w:val="none"/>
          <w14:textFill>
            <w14:solidFill>
              <w14:schemeClr w14:val="tx1"/>
            </w14:solidFill>
          </w14:textFill>
        </w:rPr>
        <w:t>中的项目开发目标（PDO）</w:t>
      </w:r>
      <w:r>
        <w:rPr>
          <w:rFonts w:ascii="Times New Roman" w:hAnsi="Times New Roman" w:eastAsia="仿宋" w:cs="Times New Roman"/>
          <w:color w:val="000000" w:themeColor="text1"/>
          <w:sz w:val="28"/>
          <w:szCs w:val="28"/>
          <w:highlight w:val="none"/>
          <w14:textFill>
            <w14:solidFill>
              <w14:schemeClr w14:val="tx1"/>
            </w14:solidFill>
          </w14:textFill>
        </w:rPr>
        <w:t>及中期指标作出贡献</w:t>
      </w:r>
      <w:r>
        <w:rPr>
          <w:rFonts w:hint="eastAsia" w:ascii="Times New Roman" w:hAnsi="Times New Roman" w:eastAsia="仿宋" w:cs="Times New Roman"/>
          <w:color w:val="000000" w:themeColor="text1"/>
          <w:sz w:val="28"/>
          <w:szCs w:val="28"/>
          <w:highlight w:val="none"/>
          <w14:textFill>
            <w14:solidFill>
              <w14:schemeClr w14:val="tx1"/>
            </w14:solidFill>
          </w14:textFill>
        </w:rPr>
        <w:t>：</w:t>
      </w:r>
    </w:p>
    <w:tbl>
      <w:tblPr>
        <w:tblStyle w:val="21"/>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4763"/>
        <w:gridCol w:w="1845"/>
      </w:tblGrid>
      <w:tr w14:paraId="5EF7B273">
        <w:trPr>
          <w:tblHeader/>
        </w:trPr>
        <w:tc>
          <w:tcPr>
            <w:tcW w:w="1913" w:type="dxa"/>
            <w:tcBorders>
              <w:tl2br w:val="nil"/>
              <w:tr2bl w:val="nil"/>
            </w:tcBorders>
            <w:vAlign w:val="center"/>
          </w:tcPr>
          <w:p w14:paraId="2134A91B">
            <w:pPr>
              <w:pStyle w:val="2"/>
              <w:ind w:firstLine="0"/>
              <w:jc w:val="center"/>
              <w:rPr>
                <w:rFonts w:eastAsia="仿宋"/>
                <w:b/>
                <w:bCs/>
                <w:sz w:val="24"/>
                <w:szCs w:val="24"/>
                <w:highlight w:val="none"/>
              </w:rPr>
            </w:pPr>
            <w:r>
              <w:rPr>
                <w:rFonts w:hint="eastAsia" w:eastAsia="仿宋"/>
                <w:b/>
                <w:bCs/>
                <w:sz w:val="24"/>
                <w:szCs w:val="24"/>
                <w:highlight w:val="none"/>
              </w:rPr>
              <w:t>预期交付成果</w:t>
            </w:r>
          </w:p>
        </w:tc>
        <w:tc>
          <w:tcPr>
            <w:tcW w:w="4763" w:type="dxa"/>
            <w:tcBorders>
              <w:tl2br w:val="nil"/>
              <w:tr2bl w:val="nil"/>
            </w:tcBorders>
            <w:vAlign w:val="center"/>
          </w:tcPr>
          <w:p w14:paraId="0BE3DA15">
            <w:pPr>
              <w:pStyle w:val="2"/>
              <w:ind w:firstLine="0"/>
              <w:jc w:val="center"/>
              <w:rPr>
                <w:rFonts w:eastAsia="仿宋"/>
                <w:b/>
                <w:bCs/>
                <w:sz w:val="24"/>
                <w:szCs w:val="24"/>
                <w:highlight w:val="none"/>
              </w:rPr>
            </w:pPr>
            <w:r>
              <w:rPr>
                <w:rFonts w:hint="eastAsia" w:eastAsia="仿宋"/>
                <w:b/>
                <w:bCs/>
                <w:sz w:val="24"/>
                <w:szCs w:val="24"/>
                <w:highlight w:val="none"/>
              </w:rPr>
              <w:t>指标</w:t>
            </w:r>
          </w:p>
        </w:tc>
        <w:tc>
          <w:tcPr>
            <w:tcW w:w="1845" w:type="dxa"/>
            <w:tcBorders>
              <w:tl2br w:val="nil"/>
              <w:tr2bl w:val="nil"/>
            </w:tcBorders>
            <w:vAlign w:val="center"/>
          </w:tcPr>
          <w:p w14:paraId="322FD960">
            <w:pPr>
              <w:pStyle w:val="2"/>
              <w:ind w:firstLine="0"/>
              <w:jc w:val="center"/>
              <w:rPr>
                <w:rFonts w:eastAsia="仿宋"/>
                <w:b/>
                <w:bCs/>
                <w:sz w:val="24"/>
                <w:szCs w:val="24"/>
                <w:highlight w:val="none"/>
              </w:rPr>
            </w:pPr>
            <w:r>
              <w:rPr>
                <w:rFonts w:hint="eastAsia" w:eastAsia="仿宋"/>
                <w:b/>
                <w:bCs/>
                <w:sz w:val="24"/>
                <w:szCs w:val="24"/>
                <w:highlight w:val="none"/>
              </w:rPr>
              <w:t>贡献类型</w:t>
            </w:r>
          </w:p>
        </w:tc>
      </w:tr>
      <w:tr w14:paraId="3A9B5F86">
        <w:tc>
          <w:tcPr>
            <w:tcW w:w="1913" w:type="dxa"/>
            <w:tcBorders>
              <w:tl2br w:val="nil"/>
              <w:tr2bl w:val="nil"/>
            </w:tcBorders>
            <w:vAlign w:val="center"/>
          </w:tcPr>
          <w:p w14:paraId="646635D3">
            <w:pPr>
              <w:pStyle w:val="2"/>
              <w:ind w:firstLine="0"/>
              <w:jc w:val="center"/>
              <w:rPr>
                <w:rFonts w:eastAsia="仿宋"/>
                <w:sz w:val="24"/>
                <w:szCs w:val="24"/>
                <w:highlight w:val="none"/>
              </w:rPr>
            </w:pPr>
            <w:r>
              <w:rPr>
                <w:rFonts w:hint="eastAsia" w:eastAsia="仿宋"/>
                <w:sz w:val="24"/>
                <w:szCs w:val="24"/>
                <w:highlight w:val="none"/>
              </w:rPr>
              <w:t>交付成果4.2、交付成果4.3</w:t>
            </w:r>
          </w:p>
        </w:tc>
        <w:tc>
          <w:tcPr>
            <w:tcW w:w="4763" w:type="dxa"/>
            <w:tcBorders>
              <w:tl2br w:val="nil"/>
              <w:tr2bl w:val="nil"/>
            </w:tcBorders>
            <w:vAlign w:val="center"/>
          </w:tcPr>
          <w:p w14:paraId="60468E33">
            <w:pPr>
              <w:pStyle w:val="2"/>
              <w:ind w:firstLine="0"/>
              <w:jc w:val="left"/>
              <w:rPr>
                <w:rFonts w:eastAsia="仿宋"/>
                <w:sz w:val="24"/>
                <w:szCs w:val="24"/>
                <w:highlight w:val="none"/>
              </w:rPr>
            </w:pPr>
            <w:r>
              <w:rPr>
                <w:rFonts w:hint="eastAsia" w:eastAsia="仿宋"/>
                <w:sz w:val="24"/>
                <w:szCs w:val="24"/>
                <w:highlight w:val="none"/>
              </w:rPr>
              <w:t>项目文件PDO指标2——完成3个新增行业共计6项技术指南（草案及终稿）的编制，并通过生态环境部官网发布</w:t>
            </w:r>
          </w:p>
        </w:tc>
        <w:tc>
          <w:tcPr>
            <w:tcW w:w="1845" w:type="dxa"/>
            <w:tcBorders>
              <w:tl2br w:val="nil"/>
              <w:tr2bl w:val="nil"/>
            </w:tcBorders>
            <w:vAlign w:val="center"/>
          </w:tcPr>
          <w:p w14:paraId="350F6F7B">
            <w:pPr>
              <w:pStyle w:val="2"/>
              <w:ind w:firstLine="0"/>
              <w:jc w:val="center"/>
              <w:rPr>
                <w:rFonts w:eastAsia="仿宋"/>
                <w:sz w:val="24"/>
                <w:szCs w:val="24"/>
                <w:highlight w:val="none"/>
              </w:rPr>
            </w:pPr>
            <w:r>
              <w:rPr>
                <w:rFonts w:hint="eastAsia" w:eastAsia="仿宋"/>
                <w:sz w:val="24"/>
                <w:szCs w:val="24"/>
                <w:highlight w:val="none"/>
              </w:rPr>
              <w:t>间接贡献</w:t>
            </w:r>
          </w:p>
        </w:tc>
      </w:tr>
    </w:tbl>
    <w:p w14:paraId="15A9A257">
      <w:pPr>
        <w:spacing w:line="360" w:lineRule="auto"/>
        <w:rPr>
          <w:rFonts w:ascii="Times New Roman" w:hAnsi="Times New Roman" w:eastAsia="仿宋" w:cs="Times New Roman"/>
          <w:sz w:val="24"/>
          <w:szCs w:val="24"/>
          <w:highlight w:val="none"/>
        </w:rPr>
      </w:pPr>
    </w:p>
    <w:p w14:paraId="583DF9AB">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五、时间安排及交付周期</w:t>
      </w:r>
    </w:p>
    <w:p w14:paraId="36024B7A">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合同的主要任务应在</w:t>
      </w:r>
      <w:r>
        <w:rPr>
          <w:rFonts w:hint="eastAsia" w:ascii="Times New Roman" w:hAnsi="Times New Roman" w:eastAsia="仿宋" w:cs="Times New Roman"/>
          <w:sz w:val="28"/>
          <w:szCs w:val="28"/>
          <w:highlight w:val="none"/>
        </w:rPr>
        <w:t>10</w:t>
      </w:r>
      <w:r>
        <w:rPr>
          <w:rFonts w:ascii="Times New Roman" w:hAnsi="Times New Roman" w:eastAsia="仿宋" w:cs="Times New Roman"/>
          <w:sz w:val="28"/>
          <w:szCs w:val="28"/>
          <w:highlight w:val="none"/>
        </w:rPr>
        <w:t>个月内完成，即所有关键交付成果须在</w:t>
      </w:r>
      <w:r>
        <w:rPr>
          <w:rFonts w:hint="eastAsia" w:ascii="Times New Roman" w:hAnsi="Times New Roman" w:eastAsia="仿宋" w:cs="Times New Roman"/>
          <w:sz w:val="28"/>
          <w:szCs w:val="28"/>
          <w:highlight w:val="none"/>
        </w:rPr>
        <w:t>10</w:t>
      </w:r>
      <w:r>
        <w:rPr>
          <w:rFonts w:ascii="Times New Roman" w:hAnsi="Times New Roman" w:eastAsia="仿宋" w:cs="Times New Roman"/>
          <w:sz w:val="28"/>
          <w:szCs w:val="28"/>
          <w:highlight w:val="none"/>
        </w:rPr>
        <w:t>个月内提交。为确保交付成果的质量，</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应秉持积极的协作精神，根据</w:t>
      </w:r>
      <w:r>
        <w:rPr>
          <w:rFonts w:hint="eastAsia" w:ascii="Times New Roman" w:hAnsi="Times New Roman" w:eastAsia="仿宋" w:cs="Times New Roman"/>
          <w:sz w:val="28"/>
          <w:szCs w:val="28"/>
          <w:highlight w:val="none"/>
        </w:rPr>
        <w:t>PMO</w:t>
      </w:r>
      <w:r>
        <w:rPr>
          <w:rFonts w:ascii="Times New Roman" w:hAnsi="Times New Roman" w:eastAsia="仿宋" w:cs="Times New Roman"/>
          <w:sz w:val="28"/>
          <w:szCs w:val="28"/>
          <w:highlight w:val="none"/>
        </w:rPr>
        <w:t>的要求，对交付成果进行更新、完善与优化，并提供相关技术支持。</w:t>
      </w:r>
    </w:p>
    <w:p w14:paraId="27896492">
      <w:pPr>
        <w:ind w:firstLine="560" w:firstLineChars="200"/>
        <w:rPr>
          <w:rFonts w:ascii="Times New Roman" w:hAnsi="Times New Roman" w:eastAsia="仿宋" w:cs="Times New Roman"/>
          <w:sz w:val="24"/>
          <w:szCs w:val="24"/>
          <w:highlight w:val="none"/>
        </w:rPr>
      </w:pPr>
      <w:r>
        <w:rPr>
          <w:rFonts w:ascii="Times New Roman" w:hAnsi="Times New Roman" w:eastAsia="仿宋" w:cs="Times New Roman"/>
          <w:sz w:val="28"/>
          <w:szCs w:val="28"/>
          <w:highlight w:val="none"/>
        </w:rPr>
        <w:t>本</w:t>
      </w:r>
      <w:r>
        <w:rPr>
          <w:rFonts w:hint="eastAsia" w:ascii="Times New Roman" w:hAnsi="Times New Roman" w:eastAsia="仿宋" w:cs="Times New Roman"/>
          <w:sz w:val="28"/>
          <w:szCs w:val="28"/>
          <w:highlight w:val="none"/>
        </w:rPr>
        <w:t>分包</w:t>
      </w:r>
      <w:r>
        <w:rPr>
          <w:rFonts w:ascii="Times New Roman" w:hAnsi="Times New Roman" w:eastAsia="仿宋" w:cs="Times New Roman"/>
          <w:sz w:val="28"/>
          <w:szCs w:val="28"/>
          <w:highlight w:val="none"/>
        </w:rPr>
        <w:t>合同的款项将分为</w:t>
      </w:r>
      <w:r>
        <w:rPr>
          <w:rFonts w:hint="eastAsia" w:ascii="Times New Roman" w:hAnsi="Times New Roman" w:eastAsia="仿宋" w:cs="Times New Roman"/>
          <w:sz w:val="28"/>
          <w:szCs w:val="28"/>
          <w:highlight w:val="none"/>
        </w:rPr>
        <w:t>3笔</w:t>
      </w:r>
      <w:r>
        <w:rPr>
          <w:rFonts w:ascii="Times New Roman" w:hAnsi="Times New Roman" w:eastAsia="仿宋" w:cs="Times New Roman"/>
          <w:sz w:val="28"/>
          <w:szCs w:val="28"/>
          <w:highlight w:val="none"/>
        </w:rPr>
        <w:t>支付。承担</w:t>
      </w:r>
      <w:r>
        <w:rPr>
          <w:rFonts w:hint="eastAsia" w:ascii="Times New Roman" w:hAnsi="Times New Roman" w:eastAsia="仿宋" w:cs="Times New Roman"/>
          <w:sz w:val="28"/>
          <w:szCs w:val="28"/>
          <w:highlight w:val="none"/>
        </w:rPr>
        <w:t>单位</w:t>
      </w:r>
      <w:r>
        <w:rPr>
          <w:rFonts w:ascii="Times New Roman" w:hAnsi="Times New Roman" w:eastAsia="仿宋" w:cs="Times New Roman"/>
          <w:sz w:val="28"/>
          <w:szCs w:val="28"/>
          <w:highlight w:val="none"/>
        </w:rPr>
        <w:t>在提交下表中各期付款所要求的全部文件，且文件经</w:t>
      </w:r>
      <w:r>
        <w:rPr>
          <w:rFonts w:hint="eastAsia" w:ascii="Times New Roman" w:hAnsi="Times New Roman" w:eastAsia="仿宋" w:cs="Times New Roman"/>
          <w:sz w:val="28"/>
          <w:szCs w:val="28"/>
          <w:highlight w:val="none"/>
        </w:rPr>
        <w:t>PMO</w:t>
      </w:r>
      <w:r>
        <w:rPr>
          <w:rFonts w:ascii="Times New Roman" w:hAnsi="Times New Roman" w:eastAsia="仿宋" w:cs="Times New Roman"/>
          <w:sz w:val="28"/>
          <w:szCs w:val="28"/>
          <w:highlight w:val="none"/>
        </w:rPr>
        <w:t>技术评审并通过专家评审会议满意验收后，方可获得相应款项。交付成果提交及付款的具体时间建议如下</w:t>
      </w:r>
      <w:r>
        <w:rPr>
          <w:rFonts w:hint="eastAsia" w:ascii="Times New Roman" w:hAnsi="Times New Roman" w:eastAsia="仿宋" w:cs="Times New Roman"/>
          <w:sz w:val="28"/>
          <w:szCs w:val="28"/>
          <w:highlight w:val="none"/>
        </w:rPr>
        <w:t>：</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13648EDC">
        <w:trPr>
          <w:trHeight w:val="462" w:hRule="atLeast"/>
          <w:tblHeader/>
        </w:trPr>
        <w:tc>
          <w:tcPr>
            <w:tcW w:w="473" w:type="pct"/>
            <w:vAlign w:val="center"/>
          </w:tcPr>
          <w:p w14:paraId="4FC3150F">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序号</w:t>
            </w:r>
          </w:p>
        </w:tc>
        <w:tc>
          <w:tcPr>
            <w:tcW w:w="2710" w:type="pct"/>
            <w:vAlign w:val="center"/>
          </w:tcPr>
          <w:p w14:paraId="0A0BC814">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交付成果及进度</w:t>
            </w:r>
          </w:p>
        </w:tc>
        <w:tc>
          <w:tcPr>
            <w:tcW w:w="1033" w:type="pct"/>
            <w:vAlign w:val="center"/>
          </w:tcPr>
          <w:p w14:paraId="7B7CA667">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预计交付时间</w:t>
            </w:r>
          </w:p>
        </w:tc>
        <w:tc>
          <w:tcPr>
            <w:tcW w:w="782" w:type="pct"/>
            <w:vAlign w:val="center"/>
          </w:tcPr>
          <w:p w14:paraId="010762C3">
            <w:pPr>
              <w:spacing w:before="156" w:beforeLines="50" w:after="156" w:afterLines="50"/>
              <w:rPr>
                <w:rFonts w:ascii="Times New Roman" w:hAnsi="Times New Roman" w:eastAsia="仿宋" w:cs="Times New Roman"/>
                <w:b/>
                <w:bCs/>
                <w:sz w:val="24"/>
                <w:szCs w:val="24"/>
                <w:highlight w:val="none"/>
              </w:rPr>
            </w:pPr>
            <w:r>
              <w:rPr>
                <w:rFonts w:hint="eastAsia" w:ascii="Times New Roman" w:hAnsi="Times New Roman" w:eastAsia="仿宋" w:cs="Times New Roman"/>
                <w:b/>
                <w:bCs/>
                <w:sz w:val="24"/>
                <w:szCs w:val="24"/>
                <w:highlight w:val="none"/>
              </w:rPr>
              <w:t>支付比例</w:t>
            </w:r>
            <w:r>
              <w:rPr>
                <w:rFonts w:ascii="Times New Roman" w:hAnsi="Times New Roman" w:eastAsia="仿宋" w:cs="Times New Roman"/>
                <w:b/>
                <w:bCs/>
                <w:sz w:val="24"/>
                <w:szCs w:val="24"/>
                <w:highlight w:val="none"/>
              </w:rPr>
              <w:t xml:space="preserve"> </w:t>
            </w:r>
          </w:p>
        </w:tc>
      </w:tr>
      <w:tr w14:paraId="04E8F41D">
        <w:tc>
          <w:tcPr>
            <w:tcW w:w="473" w:type="pct"/>
            <w:vAlign w:val="center"/>
          </w:tcPr>
          <w:p w14:paraId="13C9545C">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w:t>
            </w:r>
          </w:p>
        </w:tc>
        <w:tc>
          <w:tcPr>
            <w:tcW w:w="2710" w:type="pct"/>
            <w:vAlign w:val="center"/>
          </w:tcPr>
          <w:p w14:paraId="2DB60283">
            <w:pPr>
              <w:pStyle w:val="41"/>
              <w:numPr>
                <w:ilvl w:val="0"/>
                <w:numId w:val="1"/>
              </w:numPr>
              <w:spacing w:before="156" w:beforeLines="50" w:after="156" w:afterLines="50"/>
              <w:rPr>
                <w:rFonts w:ascii="Times New Roman" w:hAnsi="Times New Roman" w:eastAsia="仿宋" w:cs="Times New Roman"/>
                <w:sz w:val="24"/>
                <w:highlight w:val="none"/>
              </w:rPr>
            </w:pPr>
            <w:r>
              <w:rPr>
                <w:rFonts w:ascii="Times New Roman" w:hAnsi="Times New Roman" w:eastAsia="仿宋" w:cs="Times New Roman"/>
                <w:sz w:val="24"/>
                <w:highlight w:val="none"/>
              </w:rPr>
              <w:t>详细</w:t>
            </w:r>
            <w:r>
              <w:rPr>
                <w:rFonts w:hint="eastAsia" w:ascii="Times New Roman" w:hAnsi="Times New Roman" w:eastAsia="仿宋" w:cs="Times New Roman"/>
                <w:sz w:val="24"/>
                <w:highlight w:val="none"/>
              </w:rPr>
              <w:t>的分包任务</w:t>
            </w:r>
            <w:r>
              <w:rPr>
                <w:rFonts w:ascii="Times New Roman" w:hAnsi="Times New Roman" w:eastAsia="仿宋" w:cs="Times New Roman"/>
                <w:sz w:val="24"/>
                <w:highlight w:val="none"/>
              </w:rPr>
              <w:t>实施方案</w:t>
            </w:r>
            <w:r>
              <w:rPr>
                <w:rFonts w:hint="eastAsia" w:ascii="Times New Roman" w:hAnsi="Times New Roman" w:eastAsia="仿宋" w:cs="Times New Roman"/>
                <w:sz w:val="24"/>
                <w:highlight w:val="none"/>
              </w:rPr>
              <w:t>（含详细研究方案、工作计划及研究报告大纲）</w:t>
            </w:r>
          </w:p>
        </w:tc>
        <w:tc>
          <w:tcPr>
            <w:tcW w:w="1033" w:type="pct"/>
            <w:vAlign w:val="center"/>
          </w:tcPr>
          <w:p w14:paraId="7F994E60">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合同签署后2个月内</w:t>
            </w:r>
          </w:p>
        </w:tc>
        <w:tc>
          <w:tcPr>
            <w:tcW w:w="782" w:type="pct"/>
            <w:vAlign w:val="center"/>
          </w:tcPr>
          <w:p w14:paraId="3A8B1672">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15%</w:t>
            </w:r>
          </w:p>
        </w:tc>
      </w:tr>
      <w:tr w14:paraId="2758038D">
        <w:tc>
          <w:tcPr>
            <w:tcW w:w="473" w:type="pct"/>
            <w:vAlign w:val="center"/>
          </w:tcPr>
          <w:p w14:paraId="4EB1CE03">
            <w:pPr>
              <w:spacing w:before="156" w:beforeLines="50" w:after="156" w:afterLines="50"/>
              <w:jc w:val="center"/>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2</w:t>
            </w:r>
          </w:p>
        </w:tc>
        <w:tc>
          <w:tcPr>
            <w:tcW w:w="2710" w:type="pct"/>
            <w:vAlign w:val="center"/>
          </w:tcPr>
          <w:p w14:paraId="16391AD7">
            <w:pPr>
              <w:pStyle w:val="41"/>
              <w:numPr>
                <w:ilvl w:val="0"/>
                <w:numId w:val="2"/>
              </w:numPr>
              <w:spacing w:before="156" w:beforeLines="50" w:after="156" w:afterLines="50"/>
              <w:rPr>
                <w:rFonts w:ascii="Times New Roman" w:hAnsi="Times New Roman" w:eastAsia="仿宋" w:cs="Times New Roman"/>
                <w:color w:val="000000" w:themeColor="text1"/>
                <w:sz w:val="24"/>
                <w:highlight w:val="none"/>
                <w14:textFill>
                  <w14:solidFill>
                    <w14:schemeClr w14:val="tx1"/>
                  </w14:solidFill>
                </w14:textFill>
              </w:rPr>
            </w:pPr>
            <w:r>
              <w:rPr>
                <w:rFonts w:hint="eastAsia" w:ascii="Times New Roman" w:hAnsi="Times New Roman" w:eastAsia="仿宋" w:cs="Times New Roman"/>
                <w:color w:val="000000" w:themeColor="text1"/>
                <w:sz w:val="24"/>
                <w:highlight w:val="none"/>
                <w14:textFill>
                  <w14:solidFill>
                    <w14:schemeClr w14:val="tx1"/>
                  </w14:solidFill>
                </w14:textFill>
              </w:rPr>
              <w:t>交付成果4.1、交付成果4.2、交付成果4.3初稿</w:t>
            </w:r>
          </w:p>
        </w:tc>
        <w:tc>
          <w:tcPr>
            <w:tcW w:w="1033" w:type="pct"/>
            <w:vAlign w:val="center"/>
          </w:tcPr>
          <w:p w14:paraId="11EBA592">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合同签署后6个月内</w:t>
            </w:r>
          </w:p>
        </w:tc>
        <w:tc>
          <w:tcPr>
            <w:tcW w:w="782" w:type="pct"/>
            <w:vAlign w:val="center"/>
          </w:tcPr>
          <w:p w14:paraId="27C7641A">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50</w:t>
            </w:r>
            <w:r>
              <w:rPr>
                <w:rFonts w:ascii="Times New Roman" w:hAnsi="Times New Roman" w:eastAsia="仿宋" w:cs="Times New Roman"/>
                <w:sz w:val="24"/>
                <w:szCs w:val="24"/>
                <w:highlight w:val="none"/>
              </w:rPr>
              <w:t>%</w:t>
            </w:r>
          </w:p>
        </w:tc>
      </w:tr>
      <w:tr w14:paraId="2BC00956">
        <w:tc>
          <w:tcPr>
            <w:tcW w:w="473" w:type="pct"/>
            <w:vAlign w:val="center"/>
          </w:tcPr>
          <w:p w14:paraId="26E55939">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w:t>
            </w:r>
          </w:p>
        </w:tc>
        <w:tc>
          <w:tcPr>
            <w:tcW w:w="2710" w:type="pct"/>
            <w:vAlign w:val="center"/>
          </w:tcPr>
          <w:p w14:paraId="479CAB7F">
            <w:pPr>
              <w:pStyle w:val="41"/>
              <w:numPr>
                <w:ilvl w:val="0"/>
                <w:numId w:val="3"/>
              </w:numPr>
              <w:spacing w:before="156" w:beforeLines="50" w:after="156" w:afterLines="50"/>
              <w:rPr>
                <w:rFonts w:ascii="Times New Roman" w:hAnsi="Times New Roman" w:eastAsia="仿宋" w:cs="Times New Roman"/>
                <w:sz w:val="24"/>
                <w:highlight w:val="none"/>
              </w:rPr>
            </w:pPr>
            <w:r>
              <w:rPr>
                <w:rFonts w:hint="eastAsia" w:ascii="Times New Roman" w:hAnsi="Times New Roman" w:eastAsia="仿宋" w:cs="Times New Roman"/>
                <w:sz w:val="24"/>
                <w:highlight w:val="none"/>
              </w:rPr>
              <w:t>上述所有最终报告</w:t>
            </w:r>
          </w:p>
        </w:tc>
        <w:tc>
          <w:tcPr>
            <w:tcW w:w="1033" w:type="pct"/>
            <w:vAlign w:val="center"/>
          </w:tcPr>
          <w:p w14:paraId="0E930EB9">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highlight w:val="none"/>
              </w:rPr>
              <w:t>合同签署后9个月内</w:t>
            </w:r>
          </w:p>
        </w:tc>
        <w:tc>
          <w:tcPr>
            <w:tcW w:w="782" w:type="pct"/>
            <w:vAlign w:val="center"/>
          </w:tcPr>
          <w:p w14:paraId="606C09C7">
            <w:pPr>
              <w:spacing w:before="156" w:beforeLines="50" w:after="156" w:afterLines="50"/>
              <w:jc w:val="center"/>
              <w:rPr>
                <w:rFonts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35</w:t>
            </w:r>
            <w:r>
              <w:rPr>
                <w:rFonts w:ascii="Times New Roman" w:hAnsi="Times New Roman" w:eastAsia="仿宋" w:cs="Times New Roman"/>
                <w:sz w:val="24"/>
                <w:szCs w:val="24"/>
                <w:highlight w:val="none"/>
              </w:rPr>
              <w:t>%</w:t>
            </w:r>
          </w:p>
        </w:tc>
      </w:tr>
    </w:tbl>
    <w:p w14:paraId="2BB9BEC8">
      <w:pPr>
        <w:ind w:firstLine="560" w:firstLineChars="20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承担单位</w:t>
      </w:r>
      <w:r>
        <w:rPr>
          <w:rFonts w:ascii="Times New Roman" w:hAnsi="Times New Roman" w:eastAsia="仿宋" w:cs="Times New Roman"/>
          <w:sz w:val="28"/>
          <w:szCs w:val="28"/>
          <w:highlight w:val="none"/>
        </w:rPr>
        <w:t>应在项目建议书中制定详细的项目时间表，明确各项交付成果的提交时间安排。交付成果提交及付款的最终时间安排以合同条款与条件为准。</w:t>
      </w:r>
    </w:p>
    <w:p w14:paraId="6DADB055">
      <w:pPr>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根据分包合同实施的实际情况，经双方协商一致，可对合同进行适当的修订或续签。</w:t>
      </w:r>
    </w:p>
    <w:p w14:paraId="7B2FAD86">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六、咨询服务单位资质及团队要求</w:t>
      </w:r>
    </w:p>
    <w:p w14:paraId="6F20DAB3">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 xml:space="preserve">6.1 </w:t>
      </w:r>
      <w:r>
        <w:rPr>
          <w:rFonts w:ascii="Times New Roman" w:hAnsi="Times New Roman" w:eastAsia="仿宋" w:cs="Times New Roman"/>
          <w:color w:val="000000" w:themeColor="text1"/>
          <w:sz w:val="28"/>
          <w:szCs w:val="28"/>
          <w:highlight w:val="none"/>
          <w14:textFill>
            <w14:solidFill>
              <w14:schemeClr w14:val="tx1"/>
            </w14:solidFill>
          </w14:textFill>
        </w:rPr>
        <w:t>课题承接单位要求</w:t>
      </w:r>
    </w:p>
    <w:p w14:paraId="08274A39">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ascii="Times New Roman" w:hAnsi="Times New Roman" w:eastAsia="仿宋" w:cs="Times New Roman"/>
          <w:b/>
          <w:bCs/>
          <w:sz w:val="28"/>
          <w:szCs w:val="28"/>
          <w:highlight w:val="none"/>
        </w:rPr>
        <w:t>本项目允许联合体参与投标，联合体各方应满足本工作任务大纲所要求的资质条件，且需满足《中华人民共和国政府采购法》第二十二条规定，并明确牵头单位和参与单位的各方职责分工。</w:t>
      </w:r>
    </w:p>
    <w:p w14:paraId="5A72E9F4">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本项目分包任务旨在从行业技术层面和政策评估层面开展研究和评估，要求承担单位具备以下经验：</w:t>
      </w:r>
    </w:p>
    <w:p w14:paraId="05862942">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对全国碳排放权交易市场建设相关政策、要求、发展方向具有深刻的认识，熟悉石化行业工艺流程、碳排放特点和MRV体系的技术规范与实践进展；</w:t>
      </w:r>
    </w:p>
    <w:p w14:paraId="0DD14751">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具有承担国家级或省部级政策研究项目的经历，特别是与碳市场、石化行业、碳排放数据管理等相关的政策咨询和决策支持研究经验；</w:t>
      </w:r>
    </w:p>
    <w:p w14:paraId="06E986DF">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具备协调典型石化生产企业提供现场调研支持的能力，能够有效组织与石化企业、核查机构、行业协会、主管部门等利益相关方的调研访谈和专题研讨会；</w:t>
      </w:r>
    </w:p>
    <w:p w14:paraId="22D066C2">
      <w:pPr>
        <w:numPr>
          <w:ilvl w:val="0"/>
          <w:numId w:val="4"/>
        </w:numPr>
        <w:autoSpaceDE w:val="0"/>
        <w:autoSpaceDN w:val="0"/>
        <w:adjustRightInd w:val="0"/>
        <w:spacing w:line="600" w:lineRule="exact"/>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具备国际交流合作基础，能够获取国际碳市场石化行业配额管理及MRV体系的最新动态和实践经验。</w:t>
      </w:r>
    </w:p>
    <w:p w14:paraId="77DA85B0">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 xml:space="preserve">6.2 </w:t>
      </w:r>
      <w:r>
        <w:rPr>
          <w:rFonts w:ascii="Times New Roman" w:hAnsi="Times New Roman" w:eastAsia="仿宋" w:cs="Times New Roman"/>
          <w:color w:val="000000" w:themeColor="text1"/>
          <w:sz w:val="28"/>
          <w:szCs w:val="28"/>
          <w:highlight w:val="none"/>
          <w14:textFill>
            <w14:solidFill>
              <w14:schemeClr w14:val="tx1"/>
            </w14:solidFill>
          </w14:textFill>
        </w:rPr>
        <w:t>课题研究团队要求</w:t>
      </w:r>
    </w:p>
    <w:p w14:paraId="1547B065">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项目团队应不少于</w:t>
      </w:r>
      <w:r>
        <w:rPr>
          <w:rFonts w:ascii="Times New Roman" w:hAnsi="Times New Roman" w:eastAsia="仿宋" w:cs="Times New Roman"/>
          <w:color w:val="000000" w:themeColor="text1"/>
          <w:sz w:val="28"/>
          <w:szCs w:val="28"/>
          <w:highlight w:val="none"/>
          <w14:textFill>
            <w14:solidFill>
              <w14:schemeClr w14:val="tx1"/>
            </w14:solidFill>
          </w14:textFill>
        </w:rPr>
        <w:t>10人，</w:t>
      </w:r>
      <w:r>
        <w:rPr>
          <w:rFonts w:hint="eastAsia" w:ascii="Times New Roman" w:hAnsi="Times New Roman" w:eastAsia="仿宋" w:cs="Times New Roman"/>
          <w:color w:val="000000" w:themeColor="text1"/>
          <w:sz w:val="28"/>
          <w:szCs w:val="28"/>
          <w:highlight w:val="none"/>
          <w14:textFill>
            <w14:solidFill>
              <w14:schemeClr w14:val="tx1"/>
            </w14:solidFill>
          </w14:textFill>
        </w:rPr>
        <w:t>确保项目实施有充足且专业的人员投入。团队构成应至少包括研究人员、项目与财务管理人员、环境社会风险管控人员等。</w:t>
      </w:r>
    </w:p>
    <w:p w14:paraId="7A46C51D">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项目团队应</w:t>
      </w:r>
      <w:r>
        <w:rPr>
          <w:rFonts w:ascii="Times New Roman" w:hAnsi="Times New Roman" w:eastAsia="仿宋" w:cs="Times New Roman"/>
          <w:color w:val="000000" w:themeColor="text1"/>
          <w:sz w:val="28"/>
          <w:szCs w:val="28"/>
          <w:highlight w:val="none"/>
          <w14:textFill>
            <w14:solidFill>
              <w14:schemeClr w14:val="tx1"/>
            </w14:solidFill>
          </w14:textFill>
        </w:rPr>
        <w:t>设置项目负责人，负责项目总体规划、任务部署</w:t>
      </w:r>
      <w:r>
        <w:rPr>
          <w:rFonts w:hint="eastAsia" w:ascii="Times New Roman" w:hAnsi="Times New Roman" w:eastAsia="仿宋" w:cs="Times New Roman"/>
          <w:color w:val="000000" w:themeColor="text1"/>
          <w:sz w:val="28"/>
          <w:szCs w:val="28"/>
          <w:highlight w:val="none"/>
          <w14:textFill>
            <w14:solidFill>
              <w14:schemeClr w14:val="tx1"/>
            </w14:solidFill>
          </w14:textFill>
        </w:rPr>
        <w:t>、</w:t>
      </w:r>
      <w:r>
        <w:rPr>
          <w:rFonts w:ascii="Times New Roman" w:hAnsi="Times New Roman" w:eastAsia="仿宋" w:cs="Times New Roman"/>
          <w:color w:val="000000" w:themeColor="text1"/>
          <w:sz w:val="28"/>
          <w:szCs w:val="28"/>
          <w:highlight w:val="none"/>
          <w14:textFill>
            <w14:solidFill>
              <w14:schemeClr w14:val="tx1"/>
            </w14:solidFill>
          </w14:textFill>
        </w:rPr>
        <w:t>进度把控</w:t>
      </w:r>
      <w:r>
        <w:rPr>
          <w:rFonts w:hint="eastAsia" w:ascii="Times New Roman" w:hAnsi="Times New Roman" w:eastAsia="仿宋" w:cs="Times New Roman"/>
          <w:color w:val="000000" w:themeColor="text1"/>
          <w:sz w:val="28"/>
          <w:szCs w:val="28"/>
          <w:highlight w:val="none"/>
          <w14:textFill>
            <w14:solidFill>
              <w14:schemeClr w14:val="tx1"/>
            </w14:solidFill>
          </w14:textFill>
        </w:rPr>
        <w:t>及成果质量</w:t>
      </w:r>
      <w:r>
        <w:rPr>
          <w:rFonts w:ascii="Times New Roman" w:hAnsi="Times New Roman" w:eastAsia="仿宋" w:cs="Times New Roman"/>
          <w:color w:val="000000" w:themeColor="text1"/>
          <w:sz w:val="28"/>
          <w:szCs w:val="28"/>
          <w:highlight w:val="none"/>
          <w14:textFill>
            <w14:solidFill>
              <w14:schemeClr w14:val="tx1"/>
            </w14:solidFill>
          </w14:textFill>
        </w:rPr>
        <w:t>等工作，</w:t>
      </w:r>
      <w:r>
        <w:rPr>
          <w:rFonts w:hint="eastAsia" w:ascii="Times New Roman" w:hAnsi="Times New Roman" w:eastAsia="仿宋" w:cs="Times New Roman"/>
          <w:color w:val="000000" w:themeColor="text1"/>
          <w:sz w:val="28"/>
          <w:szCs w:val="28"/>
          <w:highlight w:val="none"/>
          <w14:textFill>
            <w14:solidFill>
              <w14:schemeClr w14:val="tx1"/>
            </w14:solidFill>
          </w14:textFill>
        </w:rPr>
        <w:t>且应具备以下条件：</w:t>
      </w:r>
    </w:p>
    <w:p w14:paraId="59214B3C">
      <w:pPr>
        <w:numPr>
          <w:ilvl w:val="0"/>
          <w:numId w:val="6"/>
        </w:numPr>
        <w:adjustRightInd w:val="0"/>
        <w:snapToGrid w:val="0"/>
        <w:spacing w:line="360" w:lineRule="auto"/>
        <w:ind w:firstLine="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在碳市场、石化行业碳排放管理、环境政策或能源经济等领域具有5年以上研究或政策咨询经验；或作为项目负责人，承担过至少1项国家部委或省级政府委托的碳市场、石化行业配额管理或MRV体系相关研究项目。</w:t>
      </w:r>
    </w:p>
    <w:p w14:paraId="0804F31B">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sz w:val="28"/>
          <w:szCs w:val="28"/>
          <w:highlight w:val="none"/>
        </w:rPr>
        <w:t>项目团队应配备与工作大纲内容相符的研究人员，以支撑全部工作任务的完成，项目研究团队人员构成应满足以下条件：</w:t>
      </w:r>
    </w:p>
    <w:p w14:paraId="04E1ED9E">
      <w:pPr>
        <w:numPr>
          <w:ilvl w:val="0"/>
          <w:numId w:val="6"/>
        </w:numPr>
        <w:adjustRightInd w:val="0"/>
        <w:snapToGrid w:val="0"/>
        <w:spacing w:line="360" w:lineRule="auto"/>
        <w:ind w:firstLine="0"/>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石化行业配额管理研究方向</w:t>
      </w:r>
    </w:p>
    <w:p w14:paraId="004E1C37">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在碳排放权交易或石化行业经济政策领域具有3年以上工作经验，或曾以主要技术人员身份承担过石化行业配额分配方案相关项目；</w:t>
      </w:r>
    </w:p>
    <w:p w14:paraId="3A6FEB3A">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熟悉全国碳排放权交易市场配额分配机制（包括基准线法、行业平衡值、总量控制路径等），具备系统性梳理和评估能力。</w:t>
      </w:r>
    </w:p>
    <w:p w14:paraId="292AA088">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石化行业MRV体系研究方向</w:t>
      </w:r>
    </w:p>
    <w:p w14:paraId="4CFB84AE">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在碳排放核算、报告与核查领域具有3年以上工作经验，或曾以主要技术人员身份参与过石化行业MRV指南修订或核查技术规范制定项目；</w:t>
      </w:r>
    </w:p>
    <w:p w14:paraId="35C763AA">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熟悉《中国石油化工企业温室气体排放核算方法与报告指南（试行）》及核查相关技术规范，能够诊断核算难点和数据质量薄弱环节。</w:t>
      </w:r>
    </w:p>
    <w:p w14:paraId="1D5F1388">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国际经验对比分析方向</w:t>
      </w:r>
    </w:p>
    <w:p w14:paraId="1F0C0880">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在国际碳市场或石化行业碳管理政策研究领域具有3年以上工作经验，具备以英文开展研究工作的能力；</w:t>
      </w:r>
    </w:p>
    <w:p w14:paraId="4E6259A8">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熟悉国际主要碳市场（如欧盟ETS、韩国ETS等）石化行业配额管理及MRV体系的制度设计与实践经验。</w:t>
      </w:r>
    </w:p>
    <w:p w14:paraId="4983B390">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企业诉求调研与数据分析方向</w:t>
      </w:r>
    </w:p>
    <w:p w14:paraId="05888538">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在石化行业企业调研、数据收集与分析领域具有3年以上工作经历，或曾以主要技术人员身份参与过石化企业碳排放数据统计分析或问卷调研项目；</w:t>
      </w:r>
    </w:p>
    <w:p w14:paraId="5441089C">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具备设计问卷、组织调研访谈、处理企业级碳排放数据的能力。</w:t>
      </w:r>
    </w:p>
    <w:p w14:paraId="324E39BD">
      <w:pPr>
        <w:numPr>
          <w:ilvl w:val="0"/>
          <w:numId w:val="6"/>
        </w:numPr>
        <w:adjustRightInd w:val="0"/>
        <w:snapToGrid w:val="0"/>
        <w:spacing w:line="360" w:lineRule="auto"/>
        <w:ind w:firstLine="0"/>
        <w:rPr>
          <w:rFonts w:ascii="Times New Roman" w:hAnsi="Times New Roman" w:eastAsia="仿宋" w:cs="Times New Roman"/>
          <w:b/>
          <w:bCs/>
          <w:color w:val="000000" w:themeColor="text1"/>
          <w:sz w:val="28"/>
          <w:szCs w:val="28"/>
          <w:highlight w:val="none"/>
          <w14:textFill>
            <w14:solidFill>
              <w14:schemeClr w14:val="tx1"/>
            </w14:solidFill>
          </w14:textFill>
        </w:rPr>
      </w:pPr>
      <w:r>
        <w:rPr>
          <w:rFonts w:hint="eastAsia" w:ascii="Times New Roman" w:hAnsi="Times New Roman" w:eastAsia="仿宋" w:cs="Times New Roman"/>
          <w:b/>
          <w:bCs/>
          <w:color w:val="000000" w:themeColor="text1"/>
          <w:sz w:val="28"/>
          <w:szCs w:val="28"/>
          <w:highlight w:val="none"/>
          <w14:textFill>
            <w14:solidFill>
              <w14:schemeClr w14:val="tx1"/>
            </w14:solidFill>
          </w14:textFill>
        </w:rPr>
        <w:t>其他辅助研究人员</w:t>
      </w:r>
    </w:p>
    <w:p w14:paraId="2FDB5570">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根据研究工作实际需要，配备在相关研究领域具有2年以上工作经验的成员；</w:t>
      </w:r>
    </w:p>
    <w:p w14:paraId="4BB6F55D">
      <w:pPr>
        <w:numPr>
          <w:ilvl w:val="2"/>
          <w:numId w:val="6"/>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具备承担资料收集、数据分析、报告撰写、会议组织等技术支持工作的能力。</w:t>
      </w:r>
    </w:p>
    <w:p w14:paraId="73EB9DA2">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还应配备了解世界银行或多边国际组织环境社会背景或具有相关环境社会影响与风险管理经验的环境专家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310B5620">
      <w:pPr>
        <w:numPr>
          <w:ilvl w:val="0"/>
          <w:numId w:val="5"/>
        </w:numPr>
        <w:adjustRightInd w:val="0"/>
        <w:snapToGrid w:val="0"/>
        <w:spacing w:line="360" w:lineRule="auto"/>
        <w:rPr>
          <w:rFonts w:ascii="Times New Roman" w:hAnsi="Times New Roman" w:eastAsia="仿宋" w:cs="Times New Roman"/>
          <w:color w:val="000000" w:themeColor="text1"/>
          <w:sz w:val="28"/>
          <w:szCs w:val="28"/>
          <w:highlight w:val="none"/>
          <w14:textFill>
            <w14:solidFill>
              <w14:schemeClr w14:val="tx1"/>
            </w14:solidFill>
          </w14:textFill>
        </w:rPr>
      </w:pPr>
      <w:r>
        <w:rPr>
          <w:rFonts w:hint="eastAsia" w:ascii="Times New Roman" w:hAnsi="Times New Roman" w:eastAsia="仿宋" w:cs="Times New Roman"/>
          <w:color w:val="000000" w:themeColor="text1"/>
          <w:sz w:val="28"/>
          <w:szCs w:val="28"/>
          <w:highlight w:val="none"/>
          <w14:textFill>
            <w14:solidFill>
              <w14:schemeClr w14:val="tx1"/>
            </w14:solidFill>
          </w14:textFill>
        </w:rPr>
        <w:t>项目团队需配备财务管理</w:t>
      </w:r>
      <w:r>
        <w:rPr>
          <w:rFonts w:ascii="Times New Roman" w:hAnsi="Times New Roman" w:eastAsia="仿宋" w:cs="Times New Roman"/>
          <w:color w:val="000000" w:themeColor="text1"/>
          <w:sz w:val="28"/>
          <w:szCs w:val="28"/>
          <w:highlight w:val="none"/>
          <w14:textFill>
            <w14:solidFill>
              <w14:schemeClr w14:val="tx1"/>
            </w14:solidFill>
          </w14:textFill>
        </w:rPr>
        <w:t>1</w:t>
      </w:r>
      <w:r>
        <w:rPr>
          <w:rFonts w:hint="eastAsia" w:ascii="Times New Roman" w:hAnsi="Times New Roman" w:eastAsia="仿宋" w:cs="Times New Roman"/>
          <w:color w:val="000000" w:themeColor="text1"/>
          <w:sz w:val="28"/>
          <w:szCs w:val="28"/>
          <w:highlight w:val="none"/>
          <w14:textFill>
            <w14:solidFill>
              <w14:schemeClr w14:val="tx1"/>
            </w14:solidFill>
          </w14:textFill>
        </w:rPr>
        <w:t>人，按照世界银行相关政策要求，负责本项目财务日常管理、编制项目财务报告，并配合提交项目监督管理及审计所需的所有资料。</w:t>
      </w:r>
    </w:p>
    <w:p w14:paraId="1AF3D049">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七、环境社会风险要求</w:t>
      </w:r>
    </w:p>
    <w:p w14:paraId="39D9A151">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ESMF）、环境和社会承诺计划（ESCP）及利益相关方参与计划（SEP）的相关要求。</w:t>
      </w:r>
    </w:p>
    <w:p w14:paraId="2CF4FE8B">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根据项目管理办公室所聘请的环境社会专家的意见，确定本分包任务所需要准备的环境、社会文件的类型及要求（文件类型指的是根据研究课题的类型准备相应文件）。</w:t>
      </w:r>
    </w:p>
    <w:p w14:paraId="15AEE37C">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按照世行《技术援助与环境社会框架指南》确定是否需要编制单独的环境社会评价文件包括规划评价或战略评价报告，还是可以仅作为研究报告的一个章节。</w:t>
      </w:r>
    </w:p>
    <w:p w14:paraId="67C8B880">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7312D778">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根据项目管理办公室的要求，每半年提供本分包项目在环境社会风险方面所开展的工作进展，并接受项目管理办公室及其所聘请环境社会专家的监督和指导。</w:t>
      </w:r>
    </w:p>
    <w:p w14:paraId="7521BD75">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所有交付成果须包含不少于一（1）页的专项环境与社会影响分析章节，内容须完整涵盖以下要素：</w:t>
      </w:r>
    </w:p>
    <w:p w14:paraId="7FEB6A1A">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（1）下游影响识别：识别并分析本交付成果所提出的政策建议、技术指南或制度方案在被后续采纳和实施后，可能对区域环境、行业生产、相关社区就业及民生等方面产生的间接影响和长远风险；</w:t>
      </w:r>
    </w:p>
    <w:p w14:paraId="586394E7">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（2）弱势群体影响分析：在下游影响识别的基础上，专项评估上述政策或技术变化对弱势群体（包括但不限于低收入群体、受碳市场政策影响的特定行业从业人员及其家属）可能造成的差异性影响；</w:t>
      </w:r>
    </w:p>
    <w:p w14:paraId="39577F33">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（3）缓解措施建议：针对已识别的下游影响和弱势群体风险，提出具体、可操作的缓解和应对措施建议。</w:t>
      </w:r>
    </w:p>
    <w:p w14:paraId="466963E3">
      <w:pPr>
        <w:ind w:firstLine="420" w:firstLineChars="150"/>
        <w:rPr>
          <w:rFonts w:ascii="Times New Roman" w:hAnsi="Times New Roman" w:eastAsia="仿宋" w:cs="Times New Roman"/>
          <w:sz w:val="28"/>
          <w:szCs w:val="28"/>
          <w:highlight w:val="none"/>
        </w:rPr>
      </w:pPr>
      <w:r>
        <w:rPr>
          <w:rFonts w:hint="eastAsia" w:ascii="Times New Roman" w:hAnsi="Times New Roman" w:eastAsia="仿宋" w:cs="Times New Roman"/>
          <w:sz w:val="28"/>
          <w:szCs w:val="28"/>
          <w:highlight w:val="none"/>
        </w:rPr>
        <w:t>上述章节的篇幅应与交付成果所涉及议题的复杂程度相适应，原则上不少于一（1）页，如研究内容涉及重大政策调整或显著社会影响，应适当增加篇幅或根据项目管理办公室环境社会专家的意见决定是否编制独立的环境社会评价文件。</w:t>
      </w:r>
    </w:p>
    <w:p w14:paraId="1530AD2C">
      <w:pPr>
        <w:pStyle w:val="3"/>
        <w:keepNext w:val="0"/>
        <w:keepLines w:val="0"/>
        <w:snapToGrid/>
        <w:spacing w:before="0" w:after="0"/>
        <w:rPr>
          <w:rFonts w:ascii="Times New Roman" w:hAnsi="Times New Roman" w:eastAsia="仿宋" w:cs="Times New Roman"/>
          <w:b/>
          <w:bCs/>
          <w:sz w:val="28"/>
          <w:szCs w:val="28"/>
          <w:highlight w:val="none"/>
        </w:rPr>
      </w:pPr>
      <w:r>
        <w:rPr>
          <w:rFonts w:hint="eastAsia" w:ascii="Times New Roman" w:hAnsi="Times New Roman" w:eastAsia="仿宋" w:cs="Times New Roman"/>
          <w:b/>
          <w:bCs/>
          <w:sz w:val="28"/>
          <w:szCs w:val="28"/>
          <w:highlight w:val="none"/>
        </w:rPr>
        <w:t>八、采购方式</w:t>
      </w:r>
    </w:p>
    <w:p w14:paraId="3112584A">
      <w:pPr>
        <w:ind w:firstLine="420" w:firstLineChars="150"/>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8"/>
          <w:szCs w:val="28"/>
          <w:highlight w:val="none"/>
        </w:rPr>
        <w:t>本项目分包工作任务拟采用基于咨询顾问资历的选择（CQS）方式进行采购</w:t>
      </w:r>
      <w:r>
        <w:rPr>
          <w:rFonts w:hint="eastAsia" w:ascii="Times New Roman" w:hAnsi="Times New Roman" w:eastAsia="仿宋" w:cs="Times New Roman"/>
          <w:sz w:val="28"/>
          <w:szCs w:val="28"/>
          <w:highlight w:val="none"/>
          <w:lang w:eastAsia="zh-CN"/>
        </w:rPr>
        <w:t>。</w:t>
      </w:r>
      <w:bookmarkStart w:id="0" w:name="_GoBack"/>
      <w:bookmarkEnd w:id="0"/>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71EEFC6C-3C79-1CCE-4621-686A92CEAD38}"/>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auto"/>
    <w:pitch w:val="default"/>
    <w:sig w:usb0="00000000" w:usb1="00000000" w:usb2="00000016" w:usb3="00000000" w:csb0="0004001F" w:csb1="00000000"/>
  </w:font>
  <w:font w:name="Microsoft YaHei UI">
    <w:altName w:val="苹方-简"/>
    <w:panose1 w:val="020B0503020204020204"/>
    <w:charset w:val="86"/>
    <w:family w:val="swiss"/>
    <w:pitch w:val="default"/>
    <w:sig w:usb0="00000000" w:usb1="00000000" w:usb2="00000016" w:usb3="00000000" w:csb0="0004001F" w:csb1="00000000"/>
  </w:font>
  <w:font w:name="方正小标宋简体">
    <w:altName w:val="汉仪书宋二KW"/>
    <w:panose1 w:val="02000000000000000000"/>
    <w:charset w:val="86"/>
    <w:family w:val="auto"/>
    <w:pitch w:val="default"/>
    <w:sig w:usb0="00000000" w:usb1="00000000" w:usb2="00000000" w:usb3="00000000" w:csb0="00040000" w:csb1="00000000"/>
    <w:embedRegular r:id="rId2" w:fontKey="{961F0C0C-8272-905B-4621-686A13189269}"/>
  </w:font>
  <w:font w:name="Calibri Light">
    <w:altName w:val="Helvetica Neue"/>
    <w:panose1 w:val="020F0302020204030204"/>
    <w:charset w:val="00"/>
    <w:family w:val="swiss"/>
    <w:pitch w:val="default"/>
    <w:sig w:usb0="00000000" w:usb1="00000000" w:usb2="00000009" w:usb3="00000000" w:csb0="000001FF" w:csb1="00000000"/>
    <w:embedRegular r:id="rId3" w:fontKey="{C522D2E8-7D10-B59A-4621-686AE9062500}"/>
  </w:font>
  <w:font w:name="仿宋">
    <w:altName w:val="方正仿宋_GBK"/>
    <w:panose1 w:val="02010609060101010101"/>
    <w:charset w:val="86"/>
    <w:family w:val="modern"/>
    <w:pitch w:val="default"/>
    <w:sig w:usb0="00000000" w:usb1="00000000" w:usb2="00000016" w:usb3="00000000" w:csb0="00040001" w:csb1="00000000"/>
  </w:font>
  <w:font w:name="Segoe UI">
    <w:altName w:val="苹方-简"/>
    <w:panose1 w:val="020B0502040204020203"/>
    <w:charset w:val="00"/>
    <w:family w:val="swiss"/>
    <w:pitch w:val="default"/>
    <w:sig w:usb0="00000000" w:usb1="00000000" w:usb2="00000009" w:usb3="00000000" w:csb0="000001FF" w:csb1="00000000"/>
    <w:embedRegular r:id="rId4" w:fontKey="{F78B71E7-9452-2859-4621-686AEBBB6A93}"/>
  </w:font>
  <w:font w:name="Aptos">
    <w:altName w:val="Helvetica Neue"/>
    <w:panose1 w:val="00000000000000000000"/>
    <w:charset w:val="00"/>
    <w:family w:val="swiss"/>
    <w:pitch w:val="default"/>
    <w:sig w:usb0="00000000" w:usb1="00000000" w:usb2="00000000" w:usb3="00000000" w:csb0="0000019F" w:csb1="00000000"/>
  </w:font>
  <w:font w:name="var(--dsw-font-markdown-table-h">
    <w:altName w:val="苹方-简"/>
    <w:panose1 w:val="00000000000000000000"/>
    <w:charset w:val="00"/>
    <w:family w:val="auto"/>
    <w:pitch w:val="default"/>
    <w:sig w:usb0="00000000" w:usb1="00000000" w:usb2="00000000" w:usb3="00000000" w:csb0="00000000" w:csb1="00000000"/>
  </w:font>
  <w:font w:name="var(--dsw-font-markdown-table)">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苹方-简">
    <w:panose1 w:val="020B0400000000000000"/>
    <w:charset w:val="86"/>
    <w:family w:val="auto"/>
    <w:pitch w:val="default"/>
    <w:sig w:usb0="A00002FF" w:usb1="7ACFFDFB" w:usb2="00000017" w:usb3="00000000" w:csb0="00040001" w:csb1="00000000"/>
  </w:font>
  <w:font w:name="Arial">
    <w:panose1 w:val="020B0604020202090204"/>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7ADE7">
    <w:pPr>
      <w:pStyle w:val="13"/>
      <w:jc w:val="center"/>
      <w:rPr>
        <w:rFonts w:ascii="Times New Roman" w:hAnsi="Times New Roman" w:cs="Times New Roman"/>
      </w:rPr>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58875" cy="342900"/>
              <wp:effectExtent l="0" t="0" r="0" b="0"/>
              <wp:wrapNone/>
              <wp:docPr id="2067459233" name="Text Box 3"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1708C075">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pt;width:91.2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DXoibVAAAABAEAAA8AAAAAAAAAAQAgAAAAIgAAAGRycy9k&#10;b3ducmV2LnhtbFBLAQIUABQAAAAIAIdO4kAwOhZgPgIAAHcEAAAOAAAAAAAAAAEAIAAAACQBAABk&#10;cnMvZTJvRG9jLnhtbFBLBQYAAAAABgAGAFkBAADUBQAAAAA=&#10;">
              <v:fill on="f" focussize="0,0"/>
              <v:stroke on="f"/>
              <v:imagedata o:title=""/>
              <o:lock v:ext="edit" aspectratio="f"/>
              <v:textbox inset="0mm,0mm,20pt,15pt" style="mso-fit-shape-to-text:t;">
                <w:txbxContent>
                  <w:p w14:paraId="1708C075">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sdt>
    <w:sdtPr>
      <w:id w:val="-1"/>
    </w:sdtPr>
    <w:sdtEndPr>
      <w:rPr>
        <w:rFonts w:ascii="Times New Roman" w:hAnsi="Times New Roman" w:cs="Times New Roman"/>
      </w:rPr>
    </w:sdtEndPr>
    <w:sdtContent>
      <w:p w14:paraId="621515A9">
        <w:pPr>
          <w:pStyle w:val="13"/>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043FE2A4">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01D22609">
      <w:pPr>
        <w:pStyle w:val="16"/>
        <w:rPr>
          <w:rFonts w:ascii="Times New Roman" w:hAnsi="Times New Roman" w:eastAsia="仿宋"/>
        </w:rPr>
      </w:pPr>
      <w:r>
        <w:rPr>
          <w:rStyle w:val="27"/>
          <w:rFonts w:ascii="Times New Roman" w:hAnsi="Times New Roman" w:eastAsia="仿宋"/>
        </w:rPr>
        <w:footnoteRef/>
      </w:r>
      <w:r>
        <w:rPr>
          <w:rFonts w:ascii="Times New Roman" w:hAnsi="Times New Roman" w:eastAsia="仿宋"/>
        </w:rPr>
        <w:t xml:space="preserve"> </w:t>
      </w:r>
      <w:r>
        <w:rPr>
          <w:rFonts w:hint="eastAsia" w:ascii="Times New Roman" w:hAnsi="Times New Roman" w:eastAsia="仿宋"/>
        </w:rPr>
        <w:t>PMI-3分包任务旨在研究扩大ETS行业覆盖范围及完善国家ETS配额体系。</w:t>
      </w:r>
    </w:p>
  </w:footnote>
  <w:footnote w:id="1">
    <w:p w14:paraId="411EC5FA">
      <w:pPr>
        <w:pStyle w:val="16"/>
        <w:rPr>
          <w:rFonts w:ascii="Times New Roman" w:hAnsi="Times New Roman" w:eastAsia="仿宋"/>
        </w:rPr>
      </w:pPr>
      <w:r>
        <w:rPr>
          <w:rStyle w:val="27"/>
          <w:rFonts w:ascii="Times New Roman" w:hAnsi="Times New Roman" w:eastAsia="仿宋"/>
        </w:rPr>
        <w:footnoteRef/>
      </w:r>
      <w:r>
        <w:rPr>
          <w:rFonts w:ascii="Times New Roman" w:hAnsi="Times New Roman" w:eastAsia="仿宋"/>
        </w:rPr>
        <w:t xml:space="preserve"> </w:t>
      </w:r>
      <w:r>
        <w:rPr>
          <w:rFonts w:ascii="Times New Roman" w:hAnsi="Times New Roman" w:eastAsia="仿宋" w:cs="Segoe UI"/>
          <w:color w:val="0F1115"/>
          <w:szCs w:val="18"/>
          <w:shd w:val="clear" w:color="auto" w:fill="FFFFFF"/>
        </w:rPr>
        <w:t>PMI‑4分包</w:t>
      </w:r>
      <w:r>
        <w:rPr>
          <w:rFonts w:hint="eastAsia" w:ascii="Times New Roman" w:hAnsi="Times New Roman" w:eastAsia="仿宋" w:cs="Segoe UI"/>
          <w:color w:val="0F1115"/>
          <w:szCs w:val="18"/>
          <w:shd w:val="clear" w:color="auto" w:fill="FFFFFF"/>
        </w:rPr>
        <w:t>任务</w:t>
      </w:r>
      <w:r>
        <w:rPr>
          <w:rFonts w:ascii="Times New Roman" w:hAnsi="Times New Roman" w:eastAsia="仿宋" w:cs="Segoe UI"/>
          <w:color w:val="0F1115"/>
          <w:szCs w:val="18"/>
          <w:shd w:val="clear" w:color="auto" w:fill="FFFFFF"/>
        </w:rPr>
        <w:t>旨在研究提升ETS监管能力与加强数据管理平台建设、CCER制度实施效果评估及优化相关技术</w:t>
      </w:r>
      <w:r>
        <w:rPr>
          <w:rFonts w:hint="eastAsia" w:ascii="Times New Roman" w:hAnsi="Times New Roman" w:eastAsia="仿宋" w:cs="Segoe UI"/>
          <w:color w:val="0F1115"/>
          <w:szCs w:val="18"/>
          <w:shd w:val="clear" w:color="auto" w:fill="FFFFFF"/>
        </w:rPr>
        <w:t>。</w:t>
      </w:r>
    </w:p>
  </w:footnote>
  <w:footnote w:id="2">
    <w:p w14:paraId="501E23C7">
      <w:pPr>
        <w:pStyle w:val="16"/>
        <w:rPr>
          <w:rFonts w:ascii="Times New Roman" w:hAnsi="Times New Roman" w:eastAsia="仿宋"/>
        </w:rPr>
      </w:pPr>
      <w:r>
        <w:rPr>
          <w:rStyle w:val="27"/>
          <w:rFonts w:ascii="Times New Roman" w:hAnsi="Times New Roman" w:eastAsia="仿宋"/>
        </w:rPr>
        <w:footnoteRef/>
      </w:r>
      <w:r>
        <w:rPr>
          <w:rFonts w:ascii="Times New Roman" w:hAnsi="Times New Roman" w:eastAsia="仿宋"/>
        </w:rPr>
        <w:t xml:space="preserve"> </w:t>
      </w:r>
      <w:r>
        <w:rPr>
          <w:rFonts w:hint="eastAsia" w:ascii="Times New Roman" w:hAnsi="Times New Roman" w:eastAsia="仿宋"/>
        </w:rPr>
        <w:t>PMI-17分包任务旨在通过开展检查、开发培训材料、监督咨询/检测/核查技术服务机构、修订方法学或指南等方式加强ETS和CCER的MRV监督与管理。</w:t>
      </w:r>
    </w:p>
  </w:footnote>
  <w:footnote w:id="3">
    <w:p w14:paraId="4EB8C7AE">
      <w:pPr>
        <w:pStyle w:val="16"/>
      </w:pPr>
      <w:r>
        <w:rPr>
          <w:rStyle w:val="27"/>
        </w:rPr>
        <w:footnoteRef/>
      </w:r>
      <w:r>
        <w:t xml:space="preserve"> </w:t>
      </w:r>
      <w:r>
        <w:rPr>
          <w:rFonts w:hint="eastAsia"/>
        </w:rPr>
        <w:t>钢铁、水泥、铝冶炼行业平衡值是按照《2024、2025 年度全国碳排放权交易市场钢铁、水泥、铝冶炼行业配额总量和分配方案》规定的配额分配方法，基于各行业全部重点排放单位当年度碳排放核查结果，测算得到的各行业碳排放配额总量与应清缴配额总量（经核查排放量）相等时对应的主要工序碳排放强度水平，反映了各行业总体碳排放绩效（基准水平），是确定各企业（生产线、工序）碳排放强度偏离度和碳排放强度系数的重要依据，可通过全国碳市场管理平台进行查询。</w:t>
      </w:r>
    </w:p>
  </w:footnote>
  <w:footnote w:id="4">
    <w:p w14:paraId="15B1F8C1">
      <w:pPr>
        <w:pStyle w:val="16"/>
      </w:pPr>
      <w:r>
        <w:rPr>
          <w:rStyle w:val="27"/>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E5842"/>
    <w:multiLevelType w:val="singleLevel"/>
    <w:tmpl w:val="BFFE5842"/>
    <w:lvl w:ilvl="0" w:tentative="0">
      <w:start w:val="1"/>
      <w:numFmt w:val="lowerLetter"/>
      <w:lvlText w:val="%1."/>
      <w:lvlJc w:val="left"/>
      <w:pPr>
        <w:tabs>
          <w:tab w:val="left" w:pos="420"/>
        </w:tabs>
        <w:ind w:left="845" w:hanging="425"/>
      </w:pPr>
      <w:rPr>
        <w:rFonts w:hint="default"/>
      </w:rPr>
    </w:lvl>
  </w:abstractNum>
  <w:abstractNum w:abstractNumId="1">
    <w:nsid w:val="F79F99E7"/>
    <w:multiLevelType w:val="multilevel"/>
    <w:tmpl w:val="F79F99E7"/>
    <w:lvl w:ilvl="0" w:tentative="0">
      <w:start w:val="1"/>
      <w:numFmt w:val="bullet"/>
      <w:lvlText w:val=""/>
      <w:lvlJc w:val="left"/>
      <w:pPr>
        <w:tabs>
          <w:tab w:val="left" w:pos="840"/>
        </w:tabs>
        <w:ind w:left="1260" w:hanging="420"/>
      </w:pPr>
      <w:rPr>
        <w:rFonts w:hint="default" w:ascii="Wingdings" w:hAnsi="Wingdings"/>
        <w:b w:val="0"/>
        <w:bCs w:val="0"/>
      </w:rPr>
    </w:lvl>
    <w:lvl w:ilvl="1" w:tentative="0">
      <w:start w:val="1"/>
      <w:numFmt w:val="bullet"/>
      <w:lvlText w:val=""/>
      <w:lvlJc w:val="left"/>
      <w:pPr>
        <w:tabs>
          <w:tab w:val="left" w:pos="840"/>
        </w:tabs>
        <w:ind w:left="1680" w:hanging="420"/>
      </w:pPr>
      <w:rPr>
        <w:rFonts w:hint="default" w:ascii="Wingdings" w:hAnsi="Wingdings"/>
      </w:rPr>
    </w:lvl>
    <w:lvl w:ilvl="2" w:tentative="0">
      <w:start w:val="1"/>
      <w:numFmt w:val="bullet"/>
      <w:lvlText w:val=""/>
      <w:lvlJc w:val="left"/>
      <w:pPr>
        <w:tabs>
          <w:tab w:val="left" w:pos="1260"/>
        </w:tabs>
        <w:ind w:left="2100" w:hanging="420"/>
      </w:pPr>
      <w:rPr>
        <w:rFonts w:hint="default" w:ascii="Wingdings" w:hAnsi="Wingdings"/>
      </w:rPr>
    </w:lvl>
    <w:lvl w:ilvl="3" w:tentative="0">
      <w:start w:val="1"/>
      <w:numFmt w:val="bullet"/>
      <w:lvlText w:val=""/>
      <w:lvlJc w:val="left"/>
      <w:pPr>
        <w:tabs>
          <w:tab w:val="left" w:pos="1680"/>
        </w:tabs>
        <w:ind w:left="2520" w:hanging="420"/>
      </w:pPr>
      <w:rPr>
        <w:rFonts w:hint="default" w:ascii="Wingdings" w:hAnsi="Wingdings"/>
      </w:rPr>
    </w:lvl>
    <w:lvl w:ilvl="4" w:tentative="0">
      <w:start w:val="1"/>
      <w:numFmt w:val="bullet"/>
      <w:lvlText w:val=""/>
      <w:lvlJc w:val="left"/>
      <w:pPr>
        <w:tabs>
          <w:tab w:val="left" w:pos="2100"/>
        </w:tabs>
        <w:ind w:left="2940" w:hanging="420"/>
      </w:pPr>
      <w:rPr>
        <w:rFonts w:hint="default" w:ascii="Wingdings" w:hAnsi="Wingdings"/>
      </w:rPr>
    </w:lvl>
    <w:lvl w:ilvl="5" w:tentative="0">
      <w:start w:val="1"/>
      <w:numFmt w:val="bullet"/>
      <w:lvlText w:val=""/>
      <w:lvlJc w:val="left"/>
      <w:pPr>
        <w:tabs>
          <w:tab w:val="left" w:pos="2520"/>
        </w:tabs>
        <w:ind w:left="3360" w:hanging="420"/>
      </w:pPr>
      <w:rPr>
        <w:rFonts w:hint="default" w:ascii="Wingdings" w:hAnsi="Wingdings"/>
      </w:rPr>
    </w:lvl>
    <w:lvl w:ilvl="6" w:tentative="0">
      <w:start w:val="1"/>
      <w:numFmt w:val="bullet"/>
      <w:lvlText w:val=""/>
      <w:lvlJc w:val="left"/>
      <w:pPr>
        <w:tabs>
          <w:tab w:val="left" w:pos="2940"/>
        </w:tabs>
        <w:ind w:left="3780" w:hanging="420"/>
      </w:pPr>
      <w:rPr>
        <w:rFonts w:hint="default" w:ascii="Wingdings" w:hAnsi="Wingdings"/>
      </w:rPr>
    </w:lvl>
    <w:lvl w:ilvl="7" w:tentative="0">
      <w:start w:val="1"/>
      <w:numFmt w:val="bullet"/>
      <w:lvlText w:val=""/>
      <w:lvlJc w:val="left"/>
      <w:pPr>
        <w:tabs>
          <w:tab w:val="left" w:pos="3360"/>
        </w:tabs>
        <w:ind w:left="4200" w:hanging="420"/>
      </w:pPr>
      <w:rPr>
        <w:rFonts w:hint="default" w:ascii="Wingdings" w:hAnsi="Wingdings"/>
      </w:rPr>
    </w:lvl>
    <w:lvl w:ilvl="8" w:tentative="0">
      <w:start w:val="1"/>
      <w:numFmt w:val="bullet"/>
      <w:lvlText w:val=""/>
      <w:lvlJc w:val="left"/>
      <w:pPr>
        <w:tabs>
          <w:tab w:val="left" w:pos="3780"/>
        </w:tabs>
        <w:ind w:left="4620" w:hanging="420"/>
      </w:pPr>
      <w:rPr>
        <w:rFonts w:hint="default" w:ascii="Wingdings" w:hAnsi="Wingdings"/>
      </w:rPr>
    </w:lvl>
  </w:abstractNum>
  <w:abstractNum w:abstractNumId="2">
    <w:nsid w:val="FDDB259C"/>
    <w:multiLevelType w:val="singleLevel"/>
    <w:tmpl w:val="FDDB259C"/>
    <w:lvl w:ilvl="0" w:tentative="0">
      <w:start w:val="1"/>
      <w:numFmt w:val="lowerLetter"/>
      <w:lvlText w:val="%1."/>
      <w:lvlJc w:val="left"/>
      <w:pPr>
        <w:tabs>
          <w:tab w:val="left" w:pos="420"/>
        </w:tabs>
        <w:ind w:left="845" w:hanging="425"/>
      </w:pPr>
      <w:rPr>
        <w:rFonts w:hint="default"/>
      </w:rPr>
    </w:lvl>
  </w:abstractNum>
  <w:abstractNum w:abstractNumId="3">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5"/>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0"/>
    <w:footnote w:id="1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8D"/>
    <w:rsid w:val="00024BFA"/>
    <w:rsid w:val="00044098"/>
    <w:rsid w:val="00044C28"/>
    <w:rsid w:val="00054EE0"/>
    <w:rsid w:val="00064866"/>
    <w:rsid w:val="00065347"/>
    <w:rsid w:val="0008210C"/>
    <w:rsid w:val="00093038"/>
    <w:rsid w:val="000B746E"/>
    <w:rsid w:val="000C6AB7"/>
    <w:rsid w:val="000D49A1"/>
    <w:rsid w:val="000E5F3C"/>
    <w:rsid w:val="000F11E1"/>
    <w:rsid w:val="000F5581"/>
    <w:rsid w:val="000F5671"/>
    <w:rsid w:val="000F5EEB"/>
    <w:rsid w:val="00125644"/>
    <w:rsid w:val="00135A5C"/>
    <w:rsid w:val="001459CD"/>
    <w:rsid w:val="00161CD5"/>
    <w:rsid w:val="00172311"/>
    <w:rsid w:val="00174037"/>
    <w:rsid w:val="00191557"/>
    <w:rsid w:val="00195C8E"/>
    <w:rsid w:val="001B5341"/>
    <w:rsid w:val="001E2FF2"/>
    <w:rsid w:val="001E6197"/>
    <w:rsid w:val="002030BA"/>
    <w:rsid w:val="002109F6"/>
    <w:rsid w:val="00227B69"/>
    <w:rsid w:val="00231887"/>
    <w:rsid w:val="00256976"/>
    <w:rsid w:val="002614A4"/>
    <w:rsid w:val="002667A8"/>
    <w:rsid w:val="00270878"/>
    <w:rsid w:val="0027515A"/>
    <w:rsid w:val="002833C7"/>
    <w:rsid w:val="00293FEC"/>
    <w:rsid w:val="002A2C68"/>
    <w:rsid w:val="002A5C14"/>
    <w:rsid w:val="002A7934"/>
    <w:rsid w:val="002B4CBB"/>
    <w:rsid w:val="002B63B7"/>
    <w:rsid w:val="002B6DC8"/>
    <w:rsid w:val="002B7973"/>
    <w:rsid w:val="002C4323"/>
    <w:rsid w:val="002D0D6C"/>
    <w:rsid w:val="002D64B4"/>
    <w:rsid w:val="002F0DA7"/>
    <w:rsid w:val="002F63E5"/>
    <w:rsid w:val="0030308B"/>
    <w:rsid w:val="00326B5B"/>
    <w:rsid w:val="003326F4"/>
    <w:rsid w:val="003506A2"/>
    <w:rsid w:val="00353205"/>
    <w:rsid w:val="003613F8"/>
    <w:rsid w:val="00364971"/>
    <w:rsid w:val="00367F22"/>
    <w:rsid w:val="003705A0"/>
    <w:rsid w:val="003710F4"/>
    <w:rsid w:val="00384E6D"/>
    <w:rsid w:val="00394250"/>
    <w:rsid w:val="003A419B"/>
    <w:rsid w:val="003B3CA3"/>
    <w:rsid w:val="003B491D"/>
    <w:rsid w:val="003C3CFF"/>
    <w:rsid w:val="003D0B40"/>
    <w:rsid w:val="003E583E"/>
    <w:rsid w:val="003F2630"/>
    <w:rsid w:val="004039F5"/>
    <w:rsid w:val="00406780"/>
    <w:rsid w:val="00411391"/>
    <w:rsid w:val="00412913"/>
    <w:rsid w:val="00414161"/>
    <w:rsid w:val="004159D7"/>
    <w:rsid w:val="00425623"/>
    <w:rsid w:val="00431635"/>
    <w:rsid w:val="00446C1E"/>
    <w:rsid w:val="0045531E"/>
    <w:rsid w:val="00457AAB"/>
    <w:rsid w:val="0046047B"/>
    <w:rsid w:val="00464F3E"/>
    <w:rsid w:val="00471834"/>
    <w:rsid w:val="00472F13"/>
    <w:rsid w:val="004766BC"/>
    <w:rsid w:val="004832CC"/>
    <w:rsid w:val="004836DE"/>
    <w:rsid w:val="00497E44"/>
    <w:rsid w:val="004D52CD"/>
    <w:rsid w:val="004E3C27"/>
    <w:rsid w:val="004E7628"/>
    <w:rsid w:val="00512632"/>
    <w:rsid w:val="00514A5C"/>
    <w:rsid w:val="00515920"/>
    <w:rsid w:val="005246E2"/>
    <w:rsid w:val="00524FF9"/>
    <w:rsid w:val="00527ABB"/>
    <w:rsid w:val="005437B0"/>
    <w:rsid w:val="00566ACA"/>
    <w:rsid w:val="0057705D"/>
    <w:rsid w:val="00592F95"/>
    <w:rsid w:val="005A1B0A"/>
    <w:rsid w:val="005A3046"/>
    <w:rsid w:val="005A44F7"/>
    <w:rsid w:val="005B5D3B"/>
    <w:rsid w:val="005B7E80"/>
    <w:rsid w:val="005C3D51"/>
    <w:rsid w:val="005C5676"/>
    <w:rsid w:val="005C7B53"/>
    <w:rsid w:val="005D1517"/>
    <w:rsid w:val="005D3897"/>
    <w:rsid w:val="005F1B76"/>
    <w:rsid w:val="005F697B"/>
    <w:rsid w:val="0060429C"/>
    <w:rsid w:val="0060579F"/>
    <w:rsid w:val="0060597F"/>
    <w:rsid w:val="00606D24"/>
    <w:rsid w:val="006128F6"/>
    <w:rsid w:val="00614282"/>
    <w:rsid w:val="00615376"/>
    <w:rsid w:val="006272FB"/>
    <w:rsid w:val="00637FA6"/>
    <w:rsid w:val="0064421B"/>
    <w:rsid w:val="00652520"/>
    <w:rsid w:val="00672196"/>
    <w:rsid w:val="006724C0"/>
    <w:rsid w:val="00683746"/>
    <w:rsid w:val="006A161F"/>
    <w:rsid w:val="006A73EF"/>
    <w:rsid w:val="006B342A"/>
    <w:rsid w:val="006D1C40"/>
    <w:rsid w:val="006F3961"/>
    <w:rsid w:val="00703431"/>
    <w:rsid w:val="00715D5D"/>
    <w:rsid w:val="007310A5"/>
    <w:rsid w:val="007340DC"/>
    <w:rsid w:val="007418EF"/>
    <w:rsid w:val="00743FCF"/>
    <w:rsid w:val="007560E8"/>
    <w:rsid w:val="007578A7"/>
    <w:rsid w:val="0076258F"/>
    <w:rsid w:val="00776F8D"/>
    <w:rsid w:val="00784EFF"/>
    <w:rsid w:val="007858A5"/>
    <w:rsid w:val="00795095"/>
    <w:rsid w:val="00795837"/>
    <w:rsid w:val="00797687"/>
    <w:rsid w:val="007B41C8"/>
    <w:rsid w:val="007C012D"/>
    <w:rsid w:val="008014C5"/>
    <w:rsid w:val="00810DCC"/>
    <w:rsid w:val="00830D3E"/>
    <w:rsid w:val="008327A8"/>
    <w:rsid w:val="00841BFB"/>
    <w:rsid w:val="0085142A"/>
    <w:rsid w:val="008515DE"/>
    <w:rsid w:val="00855341"/>
    <w:rsid w:val="00861625"/>
    <w:rsid w:val="00865754"/>
    <w:rsid w:val="0086604E"/>
    <w:rsid w:val="00871DF0"/>
    <w:rsid w:val="00877759"/>
    <w:rsid w:val="008851F7"/>
    <w:rsid w:val="00896752"/>
    <w:rsid w:val="008A02F5"/>
    <w:rsid w:val="008B5849"/>
    <w:rsid w:val="008C1C68"/>
    <w:rsid w:val="008D2C48"/>
    <w:rsid w:val="009021E9"/>
    <w:rsid w:val="00905520"/>
    <w:rsid w:val="009057DD"/>
    <w:rsid w:val="00912EE7"/>
    <w:rsid w:val="00920598"/>
    <w:rsid w:val="00926324"/>
    <w:rsid w:val="00962008"/>
    <w:rsid w:val="00970E9F"/>
    <w:rsid w:val="0099463C"/>
    <w:rsid w:val="009A25B1"/>
    <w:rsid w:val="009A34EC"/>
    <w:rsid w:val="009A6A1D"/>
    <w:rsid w:val="009B278E"/>
    <w:rsid w:val="009B2F80"/>
    <w:rsid w:val="009B5EDD"/>
    <w:rsid w:val="009B7B2B"/>
    <w:rsid w:val="009C24B5"/>
    <w:rsid w:val="009C5E0A"/>
    <w:rsid w:val="009C7854"/>
    <w:rsid w:val="009D0859"/>
    <w:rsid w:val="009D2B03"/>
    <w:rsid w:val="009D5021"/>
    <w:rsid w:val="009E3AB9"/>
    <w:rsid w:val="009F40C4"/>
    <w:rsid w:val="00A156EC"/>
    <w:rsid w:val="00A17339"/>
    <w:rsid w:val="00A233E8"/>
    <w:rsid w:val="00A309BD"/>
    <w:rsid w:val="00A46781"/>
    <w:rsid w:val="00A57C02"/>
    <w:rsid w:val="00A6712F"/>
    <w:rsid w:val="00A7194D"/>
    <w:rsid w:val="00A72838"/>
    <w:rsid w:val="00A752EB"/>
    <w:rsid w:val="00A7642A"/>
    <w:rsid w:val="00A76736"/>
    <w:rsid w:val="00A779F2"/>
    <w:rsid w:val="00A85D89"/>
    <w:rsid w:val="00AA06C9"/>
    <w:rsid w:val="00AA5801"/>
    <w:rsid w:val="00AB7800"/>
    <w:rsid w:val="00AE02B0"/>
    <w:rsid w:val="00AE2F93"/>
    <w:rsid w:val="00AF63D2"/>
    <w:rsid w:val="00AF770F"/>
    <w:rsid w:val="00B10038"/>
    <w:rsid w:val="00B10C4F"/>
    <w:rsid w:val="00B21112"/>
    <w:rsid w:val="00B266D1"/>
    <w:rsid w:val="00B41D9D"/>
    <w:rsid w:val="00B41E76"/>
    <w:rsid w:val="00B54946"/>
    <w:rsid w:val="00B57265"/>
    <w:rsid w:val="00B70610"/>
    <w:rsid w:val="00B71E9A"/>
    <w:rsid w:val="00B725E9"/>
    <w:rsid w:val="00B937F2"/>
    <w:rsid w:val="00B94693"/>
    <w:rsid w:val="00BA085C"/>
    <w:rsid w:val="00BA6BB9"/>
    <w:rsid w:val="00BB0F1B"/>
    <w:rsid w:val="00BB2242"/>
    <w:rsid w:val="00BD01E3"/>
    <w:rsid w:val="00BD041D"/>
    <w:rsid w:val="00BD1FB1"/>
    <w:rsid w:val="00BD5ABC"/>
    <w:rsid w:val="00BF09E9"/>
    <w:rsid w:val="00C11CE4"/>
    <w:rsid w:val="00C15349"/>
    <w:rsid w:val="00C177B7"/>
    <w:rsid w:val="00C22393"/>
    <w:rsid w:val="00C31841"/>
    <w:rsid w:val="00C33A1A"/>
    <w:rsid w:val="00C37E3F"/>
    <w:rsid w:val="00C42B15"/>
    <w:rsid w:val="00C621A7"/>
    <w:rsid w:val="00C74D74"/>
    <w:rsid w:val="00C8599C"/>
    <w:rsid w:val="00C8791C"/>
    <w:rsid w:val="00C9556A"/>
    <w:rsid w:val="00CA4169"/>
    <w:rsid w:val="00CA48B0"/>
    <w:rsid w:val="00CA74C6"/>
    <w:rsid w:val="00CD106B"/>
    <w:rsid w:val="00CD1DB1"/>
    <w:rsid w:val="00CE6992"/>
    <w:rsid w:val="00D058D1"/>
    <w:rsid w:val="00D32CE2"/>
    <w:rsid w:val="00D337F0"/>
    <w:rsid w:val="00D33E5A"/>
    <w:rsid w:val="00D35BC6"/>
    <w:rsid w:val="00D436F2"/>
    <w:rsid w:val="00D46AE0"/>
    <w:rsid w:val="00D52A2C"/>
    <w:rsid w:val="00D55F15"/>
    <w:rsid w:val="00D77983"/>
    <w:rsid w:val="00D837F6"/>
    <w:rsid w:val="00D85741"/>
    <w:rsid w:val="00D95866"/>
    <w:rsid w:val="00D96D7D"/>
    <w:rsid w:val="00DA6F80"/>
    <w:rsid w:val="00DB3457"/>
    <w:rsid w:val="00DC037D"/>
    <w:rsid w:val="00DC10F2"/>
    <w:rsid w:val="00DD11BC"/>
    <w:rsid w:val="00DD3F0E"/>
    <w:rsid w:val="00DE0F57"/>
    <w:rsid w:val="00E02E9C"/>
    <w:rsid w:val="00E04C37"/>
    <w:rsid w:val="00E0653D"/>
    <w:rsid w:val="00E12DC9"/>
    <w:rsid w:val="00E30AA6"/>
    <w:rsid w:val="00E34873"/>
    <w:rsid w:val="00E544F3"/>
    <w:rsid w:val="00E54A3D"/>
    <w:rsid w:val="00E562AB"/>
    <w:rsid w:val="00E6011F"/>
    <w:rsid w:val="00E63D26"/>
    <w:rsid w:val="00E81A17"/>
    <w:rsid w:val="00E83C2A"/>
    <w:rsid w:val="00E87E69"/>
    <w:rsid w:val="00E90C13"/>
    <w:rsid w:val="00EA4228"/>
    <w:rsid w:val="00EB4020"/>
    <w:rsid w:val="00EB4552"/>
    <w:rsid w:val="00EC135B"/>
    <w:rsid w:val="00ED0CA1"/>
    <w:rsid w:val="00EE256A"/>
    <w:rsid w:val="00EF29CF"/>
    <w:rsid w:val="00EF39C0"/>
    <w:rsid w:val="00F01C8B"/>
    <w:rsid w:val="00F13FC5"/>
    <w:rsid w:val="00F20097"/>
    <w:rsid w:val="00F22BE8"/>
    <w:rsid w:val="00F24CD5"/>
    <w:rsid w:val="00F329C9"/>
    <w:rsid w:val="00F63203"/>
    <w:rsid w:val="00F66872"/>
    <w:rsid w:val="00F74114"/>
    <w:rsid w:val="00F7470E"/>
    <w:rsid w:val="00F755D4"/>
    <w:rsid w:val="00FA5581"/>
    <w:rsid w:val="00FB4CA7"/>
    <w:rsid w:val="00FC7D42"/>
    <w:rsid w:val="00FD3E3E"/>
    <w:rsid w:val="00FE370E"/>
    <w:rsid w:val="00FE3CD7"/>
    <w:rsid w:val="00FE79DE"/>
    <w:rsid w:val="00FF13BF"/>
    <w:rsid w:val="07E16681"/>
    <w:rsid w:val="07FF1A9C"/>
    <w:rsid w:val="095B8341"/>
    <w:rsid w:val="1FBDC13F"/>
    <w:rsid w:val="37DEDDF6"/>
    <w:rsid w:val="3AE6991D"/>
    <w:rsid w:val="3DD3F9A0"/>
    <w:rsid w:val="3E5E5395"/>
    <w:rsid w:val="52C938E1"/>
    <w:rsid w:val="57F4A039"/>
    <w:rsid w:val="5DBA5BBB"/>
    <w:rsid w:val="5F0F7CBB"/>
    <w:rsid w:val="6A6FFEBD"/>
    <w:rsid w:val="6BFDFC32"/>
    <w:rsid w:val="6EDA471E"/>
    <w:rsid w:val="6F7F468B"/>
    <w:rsid w:val="6FFD3B97"/>
    <w:rsid w:val="7352F7C5"/>
    <w:rsid w:val="74DC74DF"/>
    <w:rsid w:val="77665D0E"/>
    <w:rsid w:val="777FADAB"/>
    <w:rsid w:val="77BEE9D2"/>
    <w:rsid w:val="7A7755C7"/>
    <w:rsid w:val="7ABD3483"/>
    <w:rsid w:val="7D2654C5"/>
    <w:rsid w:val="7DFECAD8"/>
    <w:rsid w:val="7DFF3D3D"/>
    <w:rsid w:val="7E0F4110"/>
    <w:rsid w:val="7EDDD03D"/>
    <w:rsid w:val="98FF72D5"/>
    <w:rsid w:val="9DB856E7"/>
    <w:rsid w:val="9E5F566F"/>
    <w:rsid w:val="9F5FB6DE"/>
    <w:rsid w:val="9FE9F678"/>
    <w:rsid w:val="AE59860E"/>
    <w:rsid w:val="B3BBDD18"/>
    <w:rsid w:val="B78E9814"/>
    <w:rsid w:val="BDBDACDB"/>
    <w:rsid w:val="BFFEEA16"/>
    <w:rsid w:val="CFF52675"/>
    <w:rsid w:val="D7EF4CB3"/>
    <w:rsid w:val="DF79B8C5"/>
    <w:rsid w:val="DFFE0338"/>
    <w:rsid w:val="F0BDC856"/>
    <w:rsid w:val="F2ECF99F"/>
    <w:rsid w:val="F7BFF0F6"/>
    <w:rsid w:val="FBC7E274"/>
    <w:rsid w:val="FBF9010C"/>
    <w:rsid w:val="FCB837FB"/>
    <w:rsid w:val="FE59D321"/>
    <w:rsid w:val="FEDB3A4A"/>
    <w:rsid w:val="FF3E46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8"/>
    <w:qFormat/>
    <w:uiPriority w:val="9"/>
    <w:pPr>
      <w:keepNext/>
      <w:keepLines/>
      <w:snapToGrid w:val="0"/>
      <w:spacing w:before="80" w:after="80"/>
      <w:outlineLvl w:val="0"/>
    </w:pPr>
    <w:rPr>
      <w:rFonts w:eastAsia="宋体" w:asciiTheme="majorHAnsi" w:hAnsiTheme="majorHAnsi" w:cstheme="majorBidi"/>
      <w:color w:val="000000" w:themeColor="text1"/>
      <w:szCs w:val="48"/>
      <w14:textFill>
        <w14:solidFill>
          <w14:schemeClr w14:val="tx1"/>
        </w14:solidFill>
      </w14:textFill>
    </w:rPr>
  </w:style>
  <w:style w:type="paragraph" w:styleId="4">
    <w:name w:val="heading 2"/>
    <w:basedOn w:val="1"/>
    <w:next w:val="1"/>
    <w:link w:val="2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3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3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3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33"/>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3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after="120"/>
      <w:ind w:firstLine="420"/>
    </w:pPr>
    <w:rPr>
      <w:rFonts w:ascii="Times New Roman" w:hAnsi="Times New Roman" w:eastAsia="宋体" w:cs="Times New Roman"/>
      <w:szCs w:val="20"/>
    </w:rPr>
  </w:style>
  <w:style w:type="paragraph" w:styleId="12">
    <w:name w:val="annotation text"/>
    <w:basedOn w:val="1"/>
    <w:link w:val="48"/>
    <w:unhideWhenUsed/>
    <w:qFormat/>
    <w:uiPriority w:val="99"/>
    <w:pPr>
      <w:jc w:val="left"/>
    </w:pPr>
  </w:style>
  <w:style w:type="paragraph" w:styleId="13">
    <w:name w:val="footer"/>
    <w:basedOn w:val="1"/>
    <w:link w:val="47"/>
    <w:unhideWhenUsed/>
    <w:qFormat/>
    <w:uiPriority w:val="99"/>
    <w:pPr>
      <w:tabs>
        <w:tab w:val="center" w:pos="4153"/>
        <w:tab w:val="right" w:pos="8306"/>
      </w:tabs>
      <w:snapToGrid w:val="0"/>
      <w:jc w:val="left"/>
    </w:pPr>
    <w:rPr>
      <w:sz w:val="18"/>
      <w:szCs w:val="18"/>
    </w:rPr>
  </w:style>
  <w:style w:type="paragraph" w:styleId="14">
    <w:name w:val="header"/>
    <w:basedOn w:val="1"/>
    <w:link w:val="46"/>
    <w:unhideWhenUsed/>
    <w:qFormat/>
    <w:uiPriority w:val="99"/>
    <w:pPr>
      <w:tabs>
        <w:tab w:val="center" w:pos="4153"/>
        <w:tab w:val="right" w:pos="8306"/>
      </w:tabs>
      <w:snapToGrid w:val="0"/>
      <w:jc w:val="center"/>
    </w:pPr>
    <w:rPr>
      <w:sz w:val="18"/>
      <w:szCs w:val="18"/>
    </w:rPr>
  </w:style>
  <w:style w:type="paragraph" w:styleId="15">
    <w:name w:val="Subtitle"/>
    <w:basedOn w:val="1"/>
    <w:next w:val="1"/>
    <w:link w:val="3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footnote text"/>
    <w:basedOn w:val="1"/>
    <w:semiHidden/>
    <w:unhideWhenUsed/>
    <w:qFormat/>
    <w:uiPriority w:val="99"/>
    <w:pPr>
      <w:snapToGrid w:val="0"/>
      <w:jc w:val="left"/>
    </w:pPr>
    <w:rPr>
      <w:sz w:val="18"/>
    </w:rPr>
  </w:style>
  <w:style w:type="paragraph" w:styleId="17">
    <w:name w:val="Normal (Web)"/>
    <w:basedOn w:val="1"/>
    <w:semiHidden/>
    <w:unhideWhenUsed/>
    <w:qFormat/>
    <w:uiPriority w:val="99"/>
    <w:rPr>
      <w:sz w:val="24"/>
    </w:rPr>
  </w:style>
  <w:style w:type="paragraph" w:styleId="18">
    <w:name w:val="Title"/>
    <w:basedOn w:val="1"/>
    <w:next w:val="1"/>
    <w:link w:val="3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2"/>
    <w:next w:val="12"/>
    <w:link w:val="49"/>
    <w:semiHidden/>
    <w:unhideWhenUsed/>
    <w:qFormat/>
    <w:uiPriority w:val="99"/>
    <w:rPr>
      <w:b/>
      <w:bCs/>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basedOn w:val="22"/>
    <w:unhideWhenUsed/>
    <w:qFormat/>
    <w:uiPriority w:val="99"/>
    <w:rPr>
      <w:color w:val="467886" w:themeColor="hyperlink"/>
      <w:u w:val="single"/>
      <w14:textFill>
        <w14:solidFill>
          <w14:schemeClr w14:val="hlink"/>
        </w14:solidFill>
      </w14:textFill>
    </w:rPr>
  </w:style>
  <w:style w:type="character" w:styleId="26">
    <w:name w:val="annotation reference"/>
    <w:basedOn w:val="22"/>
    <w:semiHidden/>
    <w:unhideWhenUsed/>
    <w:qFormat/>
    <w:uiPriority w:val="99"/>
    <w:rPr>
      <w:sz w:val="21"/>
      <w:szCs w:val="21"/>
    </w:rPr>
  </w:style>
  <w:style w:type="character" w:styleId="27">
    <w:name w:val="footnote reference"/>
    <w:basedOn w:val="22"/>
    <w:semiHidden/>
    <w:unhideWhenUsed/>
    <w:qFormat/>
    <w:uiPriority w:val="99"/>
    <w:rPr>
      <w:vertAlign w:val="superscript"/>
    </w:rPr>
  </w:style>
  <w:style w:type="character" w:customStyle="1" w:styleId="28">
    <w:name w:val="Heading 1 Char"/>
    <w:basedOn w:val="22"/>
    <w:link w:val="3"/>
    <w:qFormat/>
    <w:uiPriority w:val="9"/>
    <w:rPr>
      <w:rFonts w:eastAsia="宋体" w:asciiTheme="majorHAnsi" w:hAnsiTheme="majorHAnsi" w:cstheme="majorBidi"/>
      <w:color w:val="000000" w:themeColor="text1"/>
      <w:szCs w:val="48"/>
      <w14:textFill>
        <w14:solidFill>
          <w14:schemeClr w14:val="tx1"/>
        </w14:solidFill>
      </w14:textFill>
    </w:rPr>
  </w:style>
  <w:style w:type="character" w:customStyle="1" w:styleId="29">
    <w:name w:val="Heading 2 Char"/>
    <w:basedOn w:val="22"/>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30">
    <w:name w:val="Heading 3 Char"/>
    <w:basedOn w:val="22"/>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31">
    <w:name w:val="Heading 4 Char"/>
    <w:basedOn w:val="22"/>
    <w:link w:val="6"/>
    <w:semiHidden/>
    <w:qFormat/>
    <w:uiPriority w:val="9"/>
    <w:rPr>
      <w:rFonts w:cstheme="majorBidi"/>
      <w:color w:val="104862" w:themeColor="accent1" w:themeShade="BF"/>
      <w:sz w:val="28"/>
      <w:szCs w:val="28"/>
    </w:rPr>
  </w:style>
  <w:style w:type="character" w:customStyle="1" w:styleId="32">
    <w:name w:val="Heading 5 Char"/>
    <w:basedOn w:val="22"/>
    <w:link w:val="7"/>
    <w:semiHidden/>
    <w:qFormat/>
    <w:uiPriority w:val="9"/>
    <w:rPr>
      <w:rFonts w:cstheme="majorBidi"/>
      <w:color w:val="104862" w:themeColor="accent1" w:themeShade="BF"/>
      <w:sz w:val="24"/>
      <w:szCs w:val="24"/>
    </w:rPr>
  </w:style>
  <w:style w:type="character" w:customStyle="1" w:styleId="33">
    <w:name w:val="Heading 6 Char"/>
    <w:basedOn w:val="22"/>
    <w:link w:val="8"/>
    <w:semiHidden/>
    <w:qFormat/>
    <w:uiPriority w:val="9"/>
    <w:rPr>
      <w:rFonts w:cstheme="majorBidi"/>
      <w:b/>
      <w:bCs/>
      <w:color w:val="104862" w:themeColor="accent1" w:themeShade="BF"/>
    </w:rPr>
  </w:style>
  <w:style w:type="character" w:customStyle="1" w:styleId="34">
    <w:name w:val="Heading 7 Char"/>
    <w:basedOn w:val="22"/>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5">
    <w:name w:val="Heading 8 Char"/>
    <w:basedOn w:val="22"/>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6">
    <w:name w:val="Heading 9 Char"/>
    <w:basedOn w:val="22"/>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Title Char"/>
    <w:basedOn w:val="22"/>
    <w:link w:val="18"/>
    <w:qFormat/>
    <w:uiPriority w:val="10"/>
    <w:rPr>
      <w:rFonts w:asciiTheme="majorHAnsi" w:hAnsiTheme="majorHAnsi" w:eastAsiaTheme="majorEastAsia" w:cstheme="majorBidi"/>
      <w:spacing w:val="-10"/>
      <w:kern w:val="28"/>
      <w:sz w:val="56"/>
      <w:szCs w:val="56"/>
    </w:rPr>
  </w:style>
  <w:style w:type="character" w:customStyle="1" w:styleId="38">
    <w:name w:val="Subtitle Char"/>
    <w:basedOn w:val="22"/>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9">
    <w:name w:val="Quote"/>
    <w:basedOn w:val="1"/>
    <w:next w:val="1"/>
    <w:link w:val="4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0">
    <w:name w:val="Quote Char"/>
    <w:basedOn w:val="22"/>
    <w:link w:val="39"/>
    <w:qFormat/>
    <w:uiPriority w:val="29"/>
    <w:rPr>
      <w:i/>
      <w:iCs/>
      <w:color w:val="404040" w:themeColor="text1" w:themeTint="BF"/>
      <w14:textFill>
        <w14:solidFill>
          <w14:schemeClr w14:val="tx1">
            <w14:lumMod w14:val="75000"/>
            <w14:lumOff w14:val="25000"/>
          </w14:schemeClr>
        </w14:solidFill>
      </w14:textFill>
    </w:rPr>
  </w:style>
  <w:style w:type="paragraph" w:styleId="41">
    <w:name w:val="List Paragraph"/>
    <w:basedOn w:val="1"/>
    <w:qFormat/>
    <w:uiPriority w:val="34"/>
    <w:pPr>
      <w:ind w:left="720"/>
      <w:contextualSpacing/>
    </w:pPr>
  </w:style>
  <w:style w:type="character" w:customStyle="1" w:styleId="42">
    <w:name w:val="Intense Emphasis1"/>
    <w:basedOn w:val="22"/>
    <w:qFormat/>
    <w:uiPriority w:val="21"/>
    <w:rPr>
      <w:i/>
      <w:iCs/>
      <w:color w:val="104862" w:themeColor="accent1" w:themeShade="BF"/>
    </w:rPr>
  </w:style>
  <w:style w:type="paragraph" w:styleId="43">
    <w:name w:val="Intense Quote"/>
    <w:basedOn w:val="1"/>
    <w:next w:val="1"/>
    <w:link w:val="4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4">
    <w:name w:val="Intense Quote Char"/>
    <w:basedOn w:val="22"/>
    <w:link w:val="43"/>
    <w:qFormat/>
    <w:uiPriority w:val="30"/>
    <w:rPr>
      <w:i/>
      <w:iCs/>
      <w:color w:val="104862" w:themeColor="accent1" w:themeShade="BF"/>
    </w:rPr>
  </w:style>
  <w:style w:type="character" w:customStyle="1" w:styleId="45">
    <w:name w:val="Intense Reference1"/>
    <w:basedOn w:val="22"/>
    <w:qFormat/>
    <w:uiPriority w:val="32"/>
    <w:rPr>
      <w:b/>
      <w:bCs/>
      <w:smallCaps/>
      <w:color w:val="104862" w:themeColor="accent1" w:themeShade="BF"/>
      <w:spacing w:val="5"/>
    </w:rPr>
  </w:style>
  <w:style w:type="character" w:customStyle="1" w:styleId="46">
    <w:name w:val="Header Char"/>
    <w:basedOn w:val="22"/>
    <w:link w:val="14"/>
    <w:qFormat/>
    <w:uiPriority w:val="99"/>
    <w:rPr>
      <w:sz w:val="18"/>
      <w:szCs w:val="18"/>
    </w:rPr>
  </w:style>
  <w:style w:type="character" w:customStyle="1" w:styleId="47">
    <w:name w:val="Footer Char"/>
    <w:basedOn w:val="22"/>
    <w:link w:val="13"/>
    <w:qFormat/>
    <w:uiPriority w:val="99"/>
    <w:rPr>
      <w:sz w:val="18"/>
      <w:szCs w:val="18"/>
    </w:rPr>
  </w:style>
  <w:style w:type="character" w:customStyle="1" w:styleId="48">
    <w:name w:val="Comment Text Char"/>
    <w:basedOn w:val="22"/>
    <w:link w:val="12"/>
    <w:qFormat/>
    <w:uiPriority w:val="99"/>
  </w:style>
  <w:style w:type="character" w:customStyle="1" w:styleId="49">
    <w:name w:val="Comment Subject Char"/>
    <w:basedOn w:val="48"/>
    <w:link w:val="19"/>
    <w:semiHidden/>
    <w:qFormat/>
    <w:uiPriority w:val="99"/>
    <w:rPr>
      <w:b/>
      <w:bCs/>
    </w:rPr>
  </w:style>
  <w:style w:type="paragraph" w:customStyle="1" w:styleId="50">
    <w:name w:val="17babae4-54f0-44fa-a444-1068224df0ac"/>
    <w:basedOn w:val="18"/>
    <w:next w:val="51"/>
    <w:link w:val="52"/>
    <w:qFormat/>
    <w:uiPriority w:val="0"/>
    <w:pPr>
      <w:adjustRightInd w:val="0"/>
      <w:spacing w:after="0" w:line="288" w:lineRule="auto"/>
      <w:outlineLvl w:val="0"/>
    </w:pPr>
    <w:rPr>
      <w:rFonts w:ascii="微软雅黑" w:hAnsi="微软雅黑" w:eastAsia="微软雅黑" w:cs="Times New Roman"/>
      <w:b/>
      <w:color w:val="000000"/>
      <w:sz w:val="40"/>
      <w:szCs w:val="24"/>
    </w:rPr>
  </w:style>
  <w:style w:type="paragraph" w:customStyle="1" w:styleId="51">
    <w:name w:val="acbfdd8b-e11b-4d36-88ff-6049b138f862"/>
    <w:basedOn w:val="1"/>
    <w:link w:val="53"/>
    <w:qFormat/>
    <w:uiPriority w:val="0"/>
    <w:pPr>
      <w:adjustRightInd w:val="0"/>
      <w:spacing w:line="288" w:lineRule="auto"/>
      <w:jc w:val="left"/>
    </w:pPr>
    <w:rPr>
      <w:rFonts w:ascii="微软雅黑" w:hAnsi="微软雅黑" w:eastAsia="微软雅黑" w:cs="Times New Roman"/>
      <w:color w:val="000000"/>
      <w:sz w:val="22"/>
      <w:szCs w:val="24"/>
    </w:rPr>
  </w:style>
  <w:style w:type="character" w:customStyle="1" w:styleId="52">
    <w:name w:val="17babae4-54f0-44fa-a444-1068224df0ac 字符"/>
    <w:basedOn w:val="22"/>
    <w:link w:val="50"/>
    <w:qFormat/>
    <w:uiPriority w:val="0"/>
    <w:rPr>
      <w:rFonts w:ascii="微软雅黑" w:hAnsi="微软雅黑" w:eastAsia="微软雅黑" w:cs="Times New Roman"/>
      <w:b/>
      <w:color w:val="000000"/>
      <w:spacing w:val="-10"/>
      <w:kern w:val="28"/>
      <w:sz w:val="40"/>
      <w:szCs w:val="24"/>
    </w:rPr>
  </w:style>
  <w:style w:type="character" w:customStyle="1" w:styleId="53">
    <w:name w:val="acbfdd8b-e11b-4d36-88ff-6049b138f862 字符"/>
    <w:basedOn w:val="22"/>
    <w:link w:val="51"/>
    <w:qFormat/>
    <w:uiPriority w:val="0"/>
    <w:rPr>
      <w:rFonts w:ascii="微软雅黑" w:hAnsi="微软雅黑" w:eastAsia="微软雅黑" w:cs="Times New Roman"/>
      <w:color w:val="000000"/>
      <w:sz w:val="22"/>
      <w:szCs w:val="24"/>
    </w:rPr>
  </w:style>
  <w:style w:type="paragraph" w:customStyle="1" w:styleId="54">
    <w:name w:val="pf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55">
    <w:name w:val="cf01"/>
    <w:basedOn w:val="22"/>
    <w:qFormat/>
    <w:uiPriority w:val="0"/>
    <w:rPr>
      <w:rFonts w:hint="eastAsia" w:ascii="Microsoft YaHei UI" w:hAnsi="Microsoft YaHei UI" w:eastAsia="Microsoft YaHei UI"/>
      <w:sz w:val="18"/>
      <w:szCs w:val="18"/>
    </w:rPr>
  </w:style>
  <w:style w:type="paragraph" w:customStyle="1" w:styleId="56">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57">
    <w:name w:val="Unresolved Mention"/>
    <w:basedOn w:val="2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xsi="http://www.w3.org/2001/XMLSchema-instance" xmlns="3e02667f-0271-471b-bd6e-11a2e16def1d" xsi:nil="true"/>
    <WBDocs_Access_To_Info_Exception xmlns="3e02667f-0271-471b-bd6e-11a2e16def1d">12. Not Assessed</WBDocs_Access_To_Info_Exception>
    <WBDocs_Document_Date xmlns="3e02667f-0271-471b-bd6e-11a2e16def1d">2026-06-18T07:48:14+00:00</WBDocs_Document_Date>
    <TaxCatchAll xmlns="3e02667f-0271-471b-bd6e-11a2e16def1d">
      <Value xmlns="3e02667f-0271-471b-bd6e-11a2e16def1d">5</Value>
    </TaxCatchAll>
    <OneCMS_Subcategory xmlns:xsi="http://www.w3.org/2001/XMLSchema-instance"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xsi="http://www.w3.org/2001/XMLSchema-instance" xmlns="3e02667f-0271-471b-bd6e-11a2e16def1d" xsi:nil="true"/>
  </documentManagement>
</p:properties>
</file>

<file path=customXml/item3.xml><?xml version="1.0" encoding="utf-8"?>
<ct:contentTypeSchema xmlns:ct="http://schemas.microsoft.com/office/2006/metadata/contentType" contentTypeVersion="21" contentTypeID="0x010100F4C63C3BD852AE468EAEFD0E6C57C64F02008C015598D0747D4283BB1F9D49ADADC6" contentTypeDescription="" contentTypeScope="" contentTypeName="WBDocument" versionID="793720ccac36104286da29796a69d008" _="">
  <xsd:schema xmlns:xsd="http://www.w3.org/2001/XMLSchema" root="true" targetNamespace="http://schemas.microsoft.com/office/2006/metadata/properties" fieldsID="0b45970f5a227ce107450d300e422142" _="">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nillable="true" format="DateTime" displayName="Document Date" index="3" default="[today]" internalName="WBDocs_Document_Date" readOnly="false" name="WBDocs_Document_Date">
      <xsd:simpleType xmlns:xsd="http://www.w3.org/2001/XMLSchema">
        <xsd:restriction xmlns:xsd="http://www.w3.org/2001/XMLSchema" base="dms:DateTime"/>
      </xsd:simpleType>
    </xsd:element>
    <xsd:element xmlns:xsd="http://www.w3.org/2001/XMLSchema" format="Dropdown" displayName="Information Classification" index="4" default="Official Use Only" internalName="WBDocs_Information_Classification" readOnly="false" name="WBDocs_Information_Classification">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nillable="true" displayName="Taxonomy Catch All Column" index="6" hidden="true" internalName="TaxCatchAll" ma:list="{16aa8994-a05b-49f1-92e2-ade3831271c5}" showField="CatchAllData" name="TaxCatchAl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xmlns:ma="http://schemas.microsoft.com/office/2006/metadata/properties/metaAttributes" nillable="true" displayName="Taxonomy Catch All Column1" index="7" hidden="true" internalName="TaxCatchAllLabel" readOnly="true" ma:list="{16aa8994-a05b-49f1-92e2-ade3831271c5}" showField="CatchAllDataLabel" name="TaxCatchAllLabel" ma: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nillable="true" minOccurs="0" type="dms:Lookup" name="Value"/>
            </xsd:sequence>
          </xsd:extension>
        </xsd:complexContent>
      </xsd:complexType>
    </xsd:element>
    <xsd:element xmlns:xsd="http://www.w3.org/2001/XMLSchema" nillable="true" displayName="Document ID Value" index="10" description="The value of the document ID assigned to this item." internalName="_dlc_DocId" readOnly="true" name="_dlc_DocId">
      <xsd:simpleType xmlns:xsd="http://www.w3.org/2001/XMLSchema">
        <xsd:restriction xmlns:xsd="http://www.w3.org/2001/XMLSchema" base="dms:Text"/>
      </xsd:simpleType>
    </xsd:element>
    <xsd:element xmlns:xsd="http://www.w3.org/2001/XMLSchema" nillable="true" displayName="Document ID" index="11" hidden="true" description="Permanent link to this document." internalName="_dlc_DocIdUrl" readOnly="true" name="_dlc_DocIdUrl">
      <xsd:complexType xmlns:xsd="http://www.w3.org/2001/XMLSchema">
        <xsd:complexContent xmlns:xsd="http://www.w3.org/2001/XMLSchema">
          <xsd:extension xmlns:xsd="http://www.w3.org/2001/XMLSchema" base="dms:URL">
            <xsd:sequence xmlns:xsd="http://www.w3.org/2001/XMLSchema">
              <xsd:element xmlns:xsd="http://www.w3.org/2001/XMLSchema" nillable="true" minOccurs="0" type="dms:ValidUrl" name="Url"/>
              <xsd:element xmlns:xsd="http://www.w3.org/2001/XMLSchema" nillable="true" type="xsd:string" name="Description"/>
            </xsd:sequence>
          </xsd:extension>
        </xsd:complexContent>
      </xsd:complexType>
    </xsd:element>
    <xsd:element xmlns:xsd="http://www.w3.org/2001/XMLSchema" nillable="true" displayName="Persist ID" index="12" hidden="true" description="Keep ID on add." internalName="_dlc_DocIdPersistId" readOnly="true" name="_dlc_DocIdPersistId">
      <xsd:simpleType xmlns:xsd="http://www.w3.org/2001/XMLSchema">
        <xsd:restriction xmlns:xsd="http://www.w3.org/2001/XMLSchema" base="dms:Boolean"/>
      </xsd:simpleType>
    </xsd:element>
    <xsd:element xmlns:xsd="http://www.w3.org/2001/XMLSchema" nillable="true" format="Dropdown" displayName="Access to Info Exception" index="13" default="12. Not Assessed" internalName="WBDocs_Access_To_Info_Exception" name="WBDocs_Access_To_Info_Exception">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ma="http://schemas.microsoft.com/office/2006/metadata/properties/metaAttributes" xmlns:xsd="http://www.w3.org/2001/XMLSchema" name="o1cb080a3dca4eb8a0fd03c7cc8bf8f7" ma:index="15" ma:open="false" ma:displayName="Local Document Type" ma:fieldId="{81cb080a-3dca-4eb8-a0fd-03c7cc8bf8f7}" internalName="o1cb080a3dca4eb8a0fd03c7cc8bf8f7" readOnly="false" ma:termSetId="ec380048-e675-43f7-9194-41567bcb0af6" nillable="true" sspId="2a6c10d7-b926-4fc0-945e-3cbf5049f6bd" ma:default="" ma:taxonomyFieldName="WBDocs_Local_Document_Type" anchorId="00000000-0000-0000-0000-000000000000" ma:taxonomy="true" taxonomyMulti="true" isKeyword="false">
      <xsd:complexType xmlns:xsd="http://www.w3.org/2001/XMLSchema">
        <xsd:sequence xmlns:xsd="http://www.w3.org/2001/XMLSchema">
          <xsd:element xmlns:xsd="http://www.w3.org/2001/XMLSchema" maxOccurs="1" minOccurs="0" ref="pc:Terms"/>
        </xsd:sequence>
      </xsd:complexType>
    </xsd:element>
    <xsd:element xmlns:ma="http://schemas.microsoft.com/office/2006/metadata/properties/metaAttributes" xmlns:xsd="http://www.w3.org/2001/XMLSchema" name="i008215bacac45029ee8cafff4c8e93b" ma:index="17" ma:open="false" ma:displayName="Originating unit" ma:fieldId="{2008215b-acac-4502-9ee8-cafff4c8e93b}" internalName="i008215bacac45029ee8cafff4c8e93b" readOnly="false" ma:termSetId="806c0147-d557-463e-8bb0-983f4f318bd5" nillable="true" sspId="2a6c10d7-b926-4fc0-945e-3cbf5049f6bd" ma:default="5;#EACCF - WB Off: Beijing|2435c311-dfa9-4ae1-8e70-c51f57abf81a" ma:taxonomyFieldName="WBDocs_Originating_Unit" anchorId="00000000-0000-0000-0000-000000000000" ma:taxonomy="true" taxonomyMulti="true" isKeyword="false">
      <xsd:complexType xmlns:xsd="http://www.w3.org/2001/XMLSchema">
        <xsd:sequence xmlns:xsd="http://www.w3.org/2001/XMLSchema">
          <xsd:element xmlns:xsd="http://www.w3.org/2001/XMLSchema" maxOccurs="1" minOccurs="0" ref="pc:Terms"/>
        </xsd:sequence>
      </xsd:complexType>
    </xsd:element>
    <xsd:element xmlns:xsd="http://www.w3.org/2001/XMLSchema" nillable="true" displayName="Subcategory" index="21" hidden="true" internalName="OneCMS_Subcategory" readOnly="false" name="OneCMS_Subcategory">
      <xsd:simpleType xmlns:xsd="http://www.w3.org/2001/XMLSchema">
        <xsd:restriction xmlns:xsd="http://www.w3.org/2001/XMLSchema" base="dms:Text"/>
      </xsd:simpleType>
    </xsd:element>
    <xsd:element xmlns:xsd="http://www.w3.org/2001/XMLSchema" nillable="true" displayName="Category" index="22" hidden="true" internalName="OneCMS_Category" readOnly="false" name="OneCMS_Category">
      <xsd:simpleType xmlns:xsd="http://www.w3.org/2001/XMLSchema">
        <xsd:restriction xmlns:xsd="http://www.w3.org/2001/XMLSchema" base="dms:Text"/>
      </xsd:simpleType>
    </xsd:element>
    <xsd:element xmlns:xsd="http://www.w3.org/2001/XMLSchema" nillable="true" displayName="Abstract" index="23" hidden="true" internalName="Abstract" readOnly="false" name="Abstract">
      <xsd:simpleType xmlns:xsd="http://www.w3.org/2001/XMLSchema">
        <xsd:restriction xmlns:xsd="http://www.w3.org/2001/XMLSchema" base="dms:Note"/>
      </xsd:simpleType>
    </xsd:element>
  </xsd:schema>
  <xsd:schema xmlns:xsd="http://www.w3.org/2001/XMLSchema" attributeFormDefault="unqualified" blockDefault="#all" targetNamespace="http://schemas.openxmlformats.org/package/2006/metadata/core-properties" elementFormDefault="qualified">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maxOccurs="1" minOccurs="0" displayName="Author" index="2" ref="dc:creator"/>
        <xsd:element xmlns:xsd="http://www.w3.org/2001/XMLSchema" maxOccurs="1" minOccurs="0" ref="dcterms:created"/>
        <xsd:element xmlns:xsd="http://www.w3.org/2001/XMLSchema" maxOccurs="1" minOccurs="0" ref="dc:identifier"/>
        <xsd:element xmlns:xsd="http://www.w3.org/2001/XMLSchema" maxOccurs="1" minOccurs="0" displayName="Content Type" index="19" type="xsd:string" name="contentType"/>
        <xsd:element xmlns:xsd="http://www.w3.org/2001/XMLSchema" maxOccurs="1" minOccurs="0" displayName="Title" index="1" ref="dc:title"/>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attributeFormDefault="unqualified" targetNamespace="http://schemas.microsoft.com/office/infopath/2007/PartnerControls" elementFormDefault="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4.xml><?xml version="1.0" encoding="utf-8"?>
<?mso-contentType ?>
<SharedContentType xmlns="Microsoft.SharePoint.Taxonomy.ContentTypeSync" PreviousValue="false" ContentTypeId="0x010100F4C63C3BD852AE468EAEFD0E6C57C64F02" SourceId="2a6c10d7-b926-4fc0-945e-3cbf5049f6bd"/>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EB7AAF-C50D-45A3-AC49-635CC73364F7}">
  <ds:schemaRefs/>
</ds:datastoreItem>
</file>

<file path=customXml/itemProps3.xml><?xml version="1.0" encoding="utf-8"?>
<ds:datastoreItem xmlns:ds="http://schemas.openxmlformats.org/officeDocument/2006/customXml" ds:itemID="{AB85EAE1-1ED1-48AF-9230-39A3FD021A84}">
  <ds:schemaRefs/>
</ds:datastoreItem>
</file>

<file path=customXml/itemProps4.xml><?xml version="1.0" encoding="utf-8"?>
<ds:datastoreItem xmlns:ds="http://schemas.openxmlformats.org/officeDocument/2006/customXml" ds:itemID="{10E596FE-9B6A-43A8-938C-44965616810F}">
  <ds:schemaRefs/>
</ds:datastoreItem>
</file>

<file path=customXml/itemProps5.xml><?xml version="1.0" encoding="utf-8"?>
<ds:datastoreItem xmlns:ds="http://schemas.openxmlformats.org/officeDocument/2006/customXml" ds:itemID="{82BD5FDC-515F-481F-8305-C4229FF7905D}">
  <ds:schemaRefs/>
</ds:datastoreItem>
</file>

<file path=customXml/itemProps6.xml><?xml version="1.0" encoding="utf-8"?>
<ds:datastoreItem xmlns:ds="http://schemas.openxmlformats.org/officeDocument/2006/customXml" ds:itemID="{D72A0974-54BB-4A8C-A5C6-523868BCDC74}">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1330</Words>
  <Characters>8209</Characters>
  <Lines>186</Lines>
  <Paragraphs>96</Paragraphs>
  <TotalTime>33</TotalTime>
  <ScaleCrop>false</ScaleCrop>
  <LinksUpToDate>false</LinksUpToDate>
  <CharactersWithSpaces>9443</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2026-06-21T17:07:00Z</dcterms:created>
  <dc:creator>Chenfei QU</dc:creator>
  <cp:lastModifiedBy>张万军</cp:lastModifiedBy>
  <dcterms:modified xsi:type="dcterms:W3CDTF">2026-07-28T11:25:58Z</dcterms:modified>
  <cp:revision>351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eyJoZGlkIjoiMjIyMWMzOGE3YjUzODgxZmVkMTc5NzMzZDFlZDMyOGYiLCJ1c2VySWQiOiIyMzAzMjg4NTkifQ==</vt:lpwstr>
  </property>
  <property fmtid="{D5CDD505-2E9C-101B-9397-08002B2CF9AE}" pid="3" name="KSOProductBuildVer">
    <vt:lpwstr>2052-7.3.1.8967</vt:lpwstr>
  </property>
  <property fmtid="{D5CDD505-2E9C-101B-9397-08002B2CF9AE}" pid="4" name="ICV">
    <vt:lpwstr>57B58726A8D656DECB67326A9368F744_43</vt:lpwstr>
  </property>
  <property fmtid="{D5CDD505-2E9C-101B-9397-08002B2CF9AE}" pid="5" name="ContentTypeId">
    <vt:lpwstr>0x010100F4C63C3BD852AE468EAEFD0E6C57C64F02008C015598D0747D4283BB1F9D49ADADC6</vt:lpwstr>
  </property>
  <property fmtid="{D5CDD505-2E9C-101B-9397-08002B2CF9AE}" pid="6" name="ClassificationContentMarkingFooterShapeIds">
    <vt:lpwstr>19bb86c4,192ec527,7b3aeca1</vt:lpwstr>
  </property>
  <property fmtid="{D5CDD505-2E9C-101B-9397-08002B2CF9AE}" pid="7" name="ClassificationContentMarkingFooterFontProps">
    <vt:lpwstr>#000000,10,Aptos</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2026-06-19T01:07:54Z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95f071af-bc84-40e9-b687-45255c65244f</vt:lpwstr>
  </property>
  <property fmtid="{D5CDD505-2E9C-101B-9397-08002B2CF9AE}" pid="15" name="MSIP_Label_f1bf45b6-5649-4236-82a3-f45024cd282e_ContentBits">
    <vt:lpwstr>2</vt:lpwstr>
  </property>
  <property fmtid="{D5CDD505-2E9C-101B-9397-08002B2CF9AE}" pid="16" name="MSIP_Label_f1bf45b6-5649-4236-82a3-f45024cd282e_Tag">
    <vt:lpwstr>10, 3, 0, 2</vt:lpwstr>
  </property>
  <property fmtid="{D5CDD505-2E9C-101B-9397-08002B2CF9AE}" pid="17" name="WBDocs_Local_Document_Type">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WBDocs_Originating_Unit">
    <vt:lpwstr>5;#EACCF - WB Off: Beijing|2435c311-dfa9-4ae1-8e70-c51f57abf81a</vt:lpwstr>
  </property>
</Properties>
</file>