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F3F6">
      <w:pPr>
        <w:widowControl/>
        <w:jc w:val="center"/>
        <w:outlineLvl w:val="0"/>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t>世界银行 中国市场伙伴实施基金赠款项目（P504267）</w:t>
      </w:r>
    </w:p>
    <w:p w14:paraId="2445D3F3">
      <w:pPr>
        <w:widowControl/>
        <w:jc w:val="center"/>
        <w:outlineLvl w:val="0"/>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t>“国内碳定价工具与国际碳交易机制链接的战略评估及海外减排项目参与我国CCER相关制度框架研究”咨询服务</w:t>
      </w:r>
    </w:p>
    <w:p w14:paraId="25E0D1DE">
      <w:pPr>
        <w:widowControl/>
        <w:jc w:val="center"/>
        <w:outlineLvl w:val="0"/>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t>工作任务大纲（PMI-16-CQS）</w:t>
      </w:r>
    </w:p>
    <w:p w14:paraId="3CDFFB27">
      <w:pPr>
        <w:rPr>
          <w:rFonts w:ascii="方正小标宋简体" w:hAnsi="方正小标宋简体" w:eastAsia="方正小标宋简体" w:cs="方正小标宋简体"/>
          <w:sz w:val="32"/>
          <w:szCs w:val="32"/>
        </w:rPr>
      </w:pPr>
    </w:p>
    <w:p w14:paraId="77B2E846">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项目背景及意义</w:t>
      </w:r>
    </w:p>
    <w:p w14:paraId="2585AEDB">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为推动中国碳排放权交易市场与温室气体自愿减排交易市场的稳定发展及持续完善，世界银行与生态环境部合作实施了“中国市场伙伴实施基金项目”。该项目旨在支持中国国家层面碳定价工具的设计、实施与管理能力提升，包括优化完善全国碳排放权交易市场（ETS）与国家核证自愿减排量（CCER）体系，助力其与《巴黎协定》第六条下的国际碳交易实现衔接兼容；同时，将分析引入碳税以补充ETS的可行性。生态环境部对外合作与交流中心（FECO）受委托作为项目管理办公室（PMO），负责统筹项目实施工作。</w:t>
      </w:r>
    </w:p>
    <w:p w14:paraId="1491D0EB">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《巴黎协定》第六条为各缔约方开展国际碳市场合作提供了关键框架，涵盖第6条框架下的合作方法及第6.4条</w:t>
      </w:r>
      <w:r>
        <w:rPr>
          <w:rStyle w:val="16"/>
          <w:rFonts w:cs="Times New Roman" w:asciiTheme="majorEastAsia" w:hAnsiTheme="majorEastAsia" w:eastAsiaTheme="majorEastAsia"/>
          <w:sz w:val="28"/>
          <w:szCs w:val="28"/>
        </w:rPr>
        <w:footnoteReference w:id="0"/>
      </w:r>
      <w:r>
        <w:rPr>
          <w:rFonts w:cs="Times New Roman" w:asciiTheme="majorEastAsia" w:hAnsiTheme="majorEastAsia" w:eastAsiaTheme="majorEastAsia"/>
          <w:sz w:val="28"/>
          <w:szCs w:val="28"/>
          <w:vertAlign w:val="superscript"/>
        </w:rPr>
        <w:t>,</w:t>
      </w:r>
      <w:r>
        <w:rPr>
          <w:rStyle w:val="16"/>
          <w:rFonts w:cs="Times New Roman" w:asciiTheme="majorEastAsia" w:hAnsiTheme="majorEastAsia" w:eastAsiaTheme="majorEastAsia"/>
          <w:sz w:val="28"/>
          <w:szCs w:val="28"/>
        </w:rPr>
        <w:footnoteReference w:id="1"/>
      </w:r>
      <w:r>
        <w:rPr>
          <w:rFonts w:hint="eastAsia" w:cs="Times New Roman" w:asciiTheme="majorEastAsia" w:hAnsiTheme="majorEastAsia" w:eastAsiaTheme="majorEastAsia"/>
          <w:sz w:val="28"/>
          <w:szCs w:val="28"/>
        </w:rPr>
        <w:t>框架下</w:t>
      </w:r>
      <w:r>
        <w:rPr>
          <w:rFonts w:cs="Times New Roman" w:asciiTheme="majorEastAsia" w:hAnsiTheme="majorEastAsia" w:eastAsiaTheme="majorEastAsia"/>
          <w:sz w:val="28"/>
          <w:szCs w:val="28"/>
        </w:rPr>
        <w:t>的</w:t>
      </w:r>
      <w:r>
        <w:rPr>
          <w:rFonts w:hint="eastAsia" w:cs="Times New Roman" w:asciiTheme="majorEastAsia" w:hAnsiTheme="majorEastAsia" w:eastAsiaTheme="majorEastAsia"/>
          <w:sz w:val="28"/>
          <w:szCs w:val="28"/>
        </w:rPr>
        <w:t>相关</w:t>
      </w:r>
      <w:r>
        <w:rPr>
          <w:rFonts w:cs="Times New Roman" w:asciiTheme="majorEastAsia" w:hAnsiTheme="majorEastAsia" w:eastAsiaTheme="majorEastAsia"/>
          <w:sz w:val="28"/>
          <w:szCs w:val="28"/>
        </w:rPr>
        <w:t>机制。该框架允许各国通过双边或多边协议交易温室气体减排成果（即国际转移减排成果</w:t>
      </w:r>
      <w:r>
        <w:rPr>
          <w:rFonts w:hint="eastAsia" w:cs="Times New Roman" w:asciiTheme="majorEastAsia" w:hAnsiTheme="majorEastAsia" w:eastAsiaTheme="majorEastAsia"/>
          <w:sz w:val="28"/>
          <w:szCs w:val="28"/>
        </w:rPr>
        <w:t>ITMOs</w:t>
      </w:r>
      <w:r>
        <w:rPr>
          <w:rFonts w:cs="Times New Roman" w:asciiTheme="majorEastAsia" w:hAnsiTheme="majorEastAsia" w:eastAsiaTheme="majorEastAsia"/>
          <w:sz w:val="28"/>
          <w:szCs w:val="28"/>
        </w:rPr>
        <w:t>），或通过联合国监督机制签发高完整性碳信用，以协助实现国家自主贡献目标（NDC）。同时，国际民航组织主导的国际航空碳抵消和减排计划（CORSIA）等合规市场，也对碳信用的跨境流动提出了明确标准。</w:t>
      </w:r>
    </w:p>
    <w:p w14:paraId="3908742E">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中国具备丰富的碳信用资源，全国温室气体自愿减排交易市场的启动为参与国际市场奠定了基础。随着《巴黎协定》第六条实施细则的逐步落实，国际碳市场合作空间不断拓展，中国碳市场正面临深度融入全球碳治理体系的战略机遇期。然而，参与跨境碳交易机制涉及复杂的规则衔接问题，包括授权程序、</w:t>
      </w:r>
      <w:r>
        <w:rPr>
          <w:rFonts w:hint="eastAsia" w:cs="Times New Roman" w:asciiTheme="majorEastAsia" w:hAnsiTheme="majorEastAsia" w:eastAsiaTheme="majorEastAsia"/>
          <w:sz w:val="28"/>
          <w:szCs w:val="28"/>
        </w:rPr>
        <w:t>防止双重计算的</w:t>
      </w:r>
      <w:r>
        <w:rPr>
          <w:rFonts w:cs="Times New Roman" w:asciiTheme="majorEastAsia" w:hAnsiTheme="majorEastAsia" w:eastAsiaTheme="majorEastAsia"/>
          <w:sz w:val="28"/>
          <w:szCs w:val="28"/>
        </w:rPr>
        <w:t>相应调整、登记簿互联互通、方法学互认等，需开展系统性的战略与制度</w:t>
      </w:r>
      <w:r>
        <w:rPr>
          <w:rFonts w:hint="eastAsia" w:cs="Times New Roman" w:asciiTheme="majorEastAsia" w:hAnsiTheme="majorEastAsia" w:eastAsiaTheme="majorEastAsia"/>
          <w:sz w:val="28"/>
          <w:szCs w:val="28"/>
        </w:rPr>
        <w:t>评估及技术分析</w:t>
      </w:r>
      <w:r>
        <w:rPr>
          <w:rFonts w:cs="Times New Roman" w:asciiTheme="majorEastAsia" w:hAnsiTheme="majorEastAsia" w:eastAsiaTheme="majorEastAsia"/>
          <w:sz w:val="28"/>
          <w:szCs w:val="28"/>
        </w:rPr>
        <w:t>。</w:t>
      </w:r>
    </w:p>
    <w:p w14:paraId="0AE93D37">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目前，国内碳定价工具（</w:t>
      </w:r>
      <w:r>
        <w:rPr>
          <w:rFonts w:ascii="Times New Roman" w:hAnsi="Times New Roman" w:cs="Times New Roman" w:eastAsiaTheme="majorEastAsia"/>
          <w:sz w:val="24"/>
        </w:rPr>
        <w:t xml:space="preserve"> </w:t>
      </w:r>
      <w:r>
        <w:rPr>
          <w:rFonts w:hint="eastAsia" w:cs="Times New Roman" w:asciiTheme="majorEastAsia" w:hAnsiTheme="majorEastAsia" w:eastAsiaTheme="majorEastAsia"/>
          <w:sz w:val="28"/>
          <w:szCs w:val="28"/>
        </w:rPr>
        <w:t>以CCER为核心参与载体</w:t>
      </w:r>
      <w:r>
        <w:rPr>
          <w:rFonts w:cs="Times New Roman" w:asciiTheme="majorEastAsia" w:hAnsiTheme="majorEastAsia" w:eastAsiaTheme="majorEastAsia"/>
          <w:sz w:val="28"/>
          <w:szCs w:val="28"/>
        </w:rPr>
        <w:t>）与国际碳交易机制的链接仍面临诸多挑战：在</w:t>
      </w:r>
      <w:r>
        <w:rPr>
          <w:rFonts w:hint="eastAsia" w:cs="Times New Roman" w:asciiTheme="majorEastAsia" w:hAnsiTheme="majorEastAsia" w:eastAsiaTheme="majorEastAsia"/>
          <w:sz w:val="28"/>
          <w:szCs w:val="28"/>
        </w:rPr>
        <w:t>战略与</w:t>
      </w:r>
      <w:r>
        <w:rPr>
          <w:rFonts w:cs="Times New Roman" w:asciiTheme="majorEastAsia" w:hAnsiTheme="majorEastAsia" w:eastAsiaTheme="majorEastAsia"/>
          <w:sz w:val="28"/>
          <w:szCs w:val="28"/>
        </w:rPr>
        <w:t>制度层面，关于中国如何参与《巴黎协定》第6条</w:t>
      </w:r>
      <w:r>
        <w:rPr>
          <w:rFonts w:hint="eastAsia" w:cs="Times New Roman" w:asciiTheme="majorEastAsia" w:hAnsiTheme="majorEastAsia" w:eastAsiaTheme="majorEastAsia"/>
          <w:sz w:val="28"/>
          <w:szCs w:val="28"/>
        </w:rPr>
        <w:t>下的</w:t>
      </w:r>
      <w:r>
        <w:rPr>
          <w:rFonts w:cs="Times New Roman" w:asciiTheme="majorEastAsia" w:hAnsiTheme="majorEastAsia" w:eastAsiaTheme="majorEastAsia"/>
          <w:sz w:val="28"/>
          <w:szCs w:val="28"/>
        </w:rPr>
        <w:t>合作方法、如何适用第6.4条机制签发</w:t>
      </w:r>
      <w:r>
        <w:rPr>
          <w:rFonts w:hint="eastAsia" w:cs="Times New Roman" w:asciiTheme="majorEastAsia" w:hAnsiTheme="majorEastAsia" w:eastAsiaTheme="majorEastAsia"/>
          <w:sz w:val="28"/>
          <w:szCs w:val="28"/>
        </w:rPr>
        <w:t>可用于</w:t>
      </w:r>
      <w:r>
        <w:rPr>
          <w:rFonts w:cs="Times New Roman" w:asciiTheme="majorEastAsia" w:hAnsiTheme="majorEastAsia" w:eastAsiaTheme="majorEastAsia"/>
          <w:sz w:val="28"/>
          <w:szCs w:val="28"/>
        </w:rPr>
        <w:t>跨境</w:t>
      </w:r>
      <w:r>
        <w:rPr>
          <w:rFonts w:hint="eastAsia" w:cs="Times New Roman" w:asciiTheme="majorEastAsia" w:hAnsiTheme="majorEastAsia" w:eastAsiaTheme="majorEastAsia"/>
          <w:sz w:val="28"/>
          <w:szCs w:val="28"/>
        </w:rPr>
        <w:t>转移的</w:t>
      </w:r>
      <w:r>
        <w:rPr>
          <w:rFonts w:cs="Times New Roman" w:asciiTheme="majorEastAsia" w:hAnsiTheme="majorEastAsia" w:eastAsiaTheme="majorEastAsia"/>
          <w:sz w:val="28"/>
          <w:szCs w:val="28"/>
        </w:rPr>
        <w:t>碳信用、如何满足CORSIA的合格</w:t>
      </w:r>
      <w:r>
        <w:rPr>
          <w:rFonts w:hint="eastAsia" w:cs="Times New Roman" w:asciiTheme="majorEastAsia" w:hAnsiTheme="majorEastAsia" w:eastAsiaTheme="majorEastAsia"/>
          <w:sz w:val="28"/>
          <w:szCs w:val="28"/>
        </w:rPr>
        <w:t>排放单元</w:t>
      </w:r>
      <w:r>
        <w:rPr>
          <w:rFonts w:cs="Times New Roman" w:asciiTheme="majorEastAsia" w:hAnsiTheme="majorEastAsia" w:eastAsiaTheme="majorEastAsia"/>
          <w:sz w:val="28"/>
          <w:szCs w:val="28"/>
        </w:rPr>
        <w:t>标准等问题，尚缺乏系统性政策框架；在技术层面，CCER登记簿与</w:t>
      </w:r>
      <w:r>
        <w:rPr>
          <w:rFonts w:hint="eastAsia" w:cs="Times New Roman" w:asciiTheme="majorEastAsia" w:hAnsiTheme="majorEastAsia" w:eastAsiaTheme="majorEastAsia"/>
          <w:sz w:val="28"/>
          <w:szCs w:val="28"/>
        </w:rPr>
        <w:t>国际</w:t>
      </w:r>
      <w:r>
        <w:rPr>
          <w:rFonts w:cs="Times New Roman" w:asciiTheme="majorEastAsia" w:hAnsiTheme="majorEastAsia" w:eastAsiaTheme="majorEastAsia"/>
          <w:sz w:val="28"/>
          <w:szCs w:val="28"/>
        </w:rPr>
        <w:t>登记簿</w:t>
      </w:r>
      <w:r>
        <w:rPr>
          <w:rFonts w:hint="eastAsia" w:cs="Times New Roman" w:asciiTheme="majorEastAsia" w:hAnsiTheme="majorEastAsia" w:eastAsiaTheme="majorEastAsia"/>
          <w:sz w:val="28"/>
          <w:szCs w:val="28"/>
        </w:rPr>
        <w:t>系统</w:t>
      </w:r>
      <w:r>
        <w:rPr>
          <w:rFonts w:cs="Times New Roman" w:asciiTheme="majorEastAsia" w:hAnsiTheme="majorEastAsia" w:eastAsiaTheme="majorEastAsia"/>
          <w:sz w:val="28"/>
          <w:szCs w:val="28"/>
        </w:rPr>
        <w:t>的互联互通、减排量的双重核算与相应调整机制、跨境交易的追踪报告制度等，均需开展</w:t>
      </w:r>
      <w:r>
        <w:rPr>
          <w:rFonts w:hint="eastAsia" w:cs="Times New Roman" w:asciiTheme="majorEastAsia" w:hAnsiTheme="majorEastAsia" w:eastAsiaTheme="majorEastAsia"/>
          <w:sz w:val="28"/>
          <w:szCs w:val="28"/>
        </w:rPr>
        <w:t>研究分析</w:t>
      </w:r>
      <w:r>
        <w:rPr>
          <w:rFonts w:cs="Times New Roman" w:asciiTheme="majorEastAsia" w:hAnsiTheme="majorEastAsia" w:eastAsiaTheme="majorEastAsia"/>
          <w:sz w:val="28"/>
          <w:szCs w:val="28"/>
        </w:rPr>
        <w:t>。</w:t>
      </w:r>
    </w:p>
    <w:p w14:paraId="145DD404">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同时，随着“一带一路”沿线国家绿色投资的增加，中国企业在海外投资建设的减排项目</w:t>
      </w:r>
      <w:r>
        <w:rPr>
          <w:rStyle w:val="16"/>
          <w:rFonts w:hint="eastAsia" w:cs="Times New Roman" w:asciiTheme="majorEastAsia" w:hAnsiTheme="majorEastAsia" w:eastAsiaTheme="majorEastAsia"/>
          <w:sz w:val="28"/>
          <w:szCs w:val="28"/>
        </w:rPr>
        <w:footnoteReference w:id="2"/>
      </w:r>
      <w:r>
        <w:rPr>
          <w:rFonts w:hint="eastAsia" w:cs="Times New Roman" w:asciiTheme="majorEastAsia" w:hAnsiTheme="majorEastAsia" w:eastAsiaTheme="majorEastAsia"/>
          <w:sz w:val="28"/>
          <w:szCs w:val="28"/>
        </w:rPr>
        <w:t>所产生的减排量如何获得CCER认证并参与国内</w:t>
      </w:r>
      <w:r>
        <w:rPr>
          <w:rFonts w:cs="Times New Roman" w:asciiTheme="majorEastAsia" w:hAnsiTheme="majorEastAsia" w:eastAsiaTheme="majorEastAsia"/>
          <w:sz w:val="28"/>
          <w:szCs w:val="28"/>
        </w:rPr>
        <w:t>CCER</w:t>
      </w:r>
      <w:r>
        <w:rPr>
          <w:rFonts w:hint="eastAsia" w:cs="Times New Roman" w:asciiTheme="majorEastAsia" w:hAnsiTheme="majorEastAsia" w:eastAsiaTheme="majorEastAsia"/>
          <w:sz w:val="28"/>
          <w:szCs w:val="28"/>
        </w:rPr>
        <w:t>市场，也是一个需要研究的领域。</w:t>
      </w:r>
    </w:p>
    <w:p w14:paraId="6E9B65FB">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咨询服务目标</w:t>
      </w:r>
    </w:p>
    <w:p w14:paraId="2F2ABD3C">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 xml:space="preserve"> </w:t>
      </w:r>
      <w:r>
        <w:rPr>
          <w:rFonts w:hint="eastAsia" w:cs="Times New Roman" w:asciiTheme="majorEastAsia" w:hAnsiTheme="majorEastAsia" w:eastAsiaTheme="majorEastAsia"/>
          <w:sz w:val="28"/>
          <w:szCs w:val="28"/>
        </w:rPr>
        <w:t>本</w:t>
      </w:r>
      <w:r>
        <w:rPr>
          <w:rFonts w:cs="Times New Roman" w:asciiTheme="majorEastAsia" w:hAnsiTheme="majorEastAsia" w:eastAsiaTheme="majorEastAsia"/>
          <w:sz w:val="28"/>
          <w:szCs w:val="28"/>
        </w:rPr>
        <w:t>分包活动旨在对国内碳定价工具</w:t>
      </w:r>
      <w:r>
        <w:rPr>
          <w:rFonts w:hint="eastAsia" w:cs="Times New Roman" w:asciiTheme="majorEastAsia" w:hAnsiTheme="majorEastAsia" w:eastAsiaTheme="majorEastAsia"/>
          <w:sz w:val="28"/>
          <w:szCs w:val="28"/>
        </w:rPr>
        <w:t>（以</w:t>
      </w:r>
      <w:r>
        <w:rPr>
          <w:rFonts w:cs="Times New Roman" w:asciiTheme="majorEastAsia" w:hAnsiTheme="majorEastAsia" w:eastAsiaTheme="majorEastAsia"/>
          <w:sz w:val="28"/>
          <w:szCs w:val="28"/>
        </w:rPr>
        <w:t>CCER</w:t>
      </w:r>
      <w:r>
        <w:rPr>
          <w:rFonts w:hint="eastAsia" w:cs="Times New Roman" w:asciiTheme="majorEastAsia" w:hAnsiTheme="majorEastAsia" w:eastAsiaTheme="majorEastAsia"/>
          <w:sz w:val="28"/>
          <w:szCs w:val="28"/>
        </w:rPr>
        <w:t>为核心参与载体）</w:t>
      </w:r>
      <w:r>
        <w:rPr>
          <w:rFonts w:cs="Times New Roman" w:asciiTheme="majorEastAsia" w:hAnsiTheme="majorEastAsia" w:eastAsiaTheme="majorEastAsia"/>
          <w:sz w:val="28"/>
          <w:szCs w:val="28"/>
        </w:rPr>
        <w:t>参与国际碳交易机制开展系统性的战略评估与技术分析，为中国政府制定跨境碳交易政策框架、参与国际碳市场规则制定、推动国内碳市场与国际规则衔接提供决策依据和技术支撑</w:t>
      </w:r>
      <w:r>
        <w:rPr>
          <w:rFonts w:hint="eastAsia" w:cs="Times New Roman" w:asciiTheme="majorEastAsia" w:hAnsiTheme="majorEastAsia" w:eastAsiaTheme="majorEastAsia"/>
          <w:sz w:val="28"/>
          <w:szCs w:val="28"/>
        </w:rPr>
        <w:t>；并研究海外减排项目参与</w:t>
      </w:r>
      <w:r>
        <w:rPr>
          <w:rFonts w:cs="Times New Roman" w:asciiTheme="majorEastAsia" w:hAnsiTheme="majorEastAsia" w:eastAsiaTheme="majorEastAsia"/>
          <w:sz w:val="28"/>
          <w:szCs w:val="28"/>
        </w:rPr>
        <w:t>CCER的制度框架，为中国海外投资建设的减排项目所产生的减排量</w:t>
      </w:r>
      <w:r>
        <w:rPr>
          <w:rFonts w:hint="eastAsia" w:cs="Times New Roman" w:asciiTheme="majorEastAsia" w:hAnsiTheme="majorEastAsia" w:eastAsiaTheme="majorEastAsia"/>
          <w:sz w:val="28"/>
          <w:szCs w:val="28"/>
        </w:rPr>
        <w:t>参与国内CCER市场提供制度设计建议。</w:t>
      </w:r>
    </w:p>
    <w:p w14:paraId="6B630917">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工作内容及要求</w:t>
      </w:r>
    </w:p>
    <w:p w14:paraId="5160A919">
      <w:pPr>
        <w:pStyle w:val="3"/>
        <w:spacing w:before="156" w:beforeLines="50" w:after="156" w:afterLines="50" w:line="240" w:lineRule="auto"/>
        <w:ind w:firstLine="56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3.1 总体工作范围</w:t>
      </w:r>
    </w:p>
    <w:p w14:paraId="22AB62C7">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本分包任务将对CCER参与国际碳市场开展战略分析</w:t>
      </w:r>
      <w:r>
        <w:rPr>
          <w:rFonts w:hint="eastAsia" w:cs="Times New Roman" w:asciiTheme="majorEastAsia" w:hAnsiTheme="majorEastAsia" w:eastAsiaTheme="majorEastAsia"/>
          <w:sz w:val="28"/>
          <w:szCs w:val="28"/>
        </w:rPr>
        <w:t>与</w:t>
      </w:r>
      <w:r>
        <w:rPr>
          <w:rFonts w:cs="Times New Roman" w:asciiTheme="majorEastAsia" w:hAnsiTheme="majorEastAsia" w:eastAsiaTheme="majorEastAsia"/>
          <w:sz w:val="28"/>
          <w:szCs w:val="28"/>
        </w:rPr>
        <w:t>技术评估，</w:t>
      </w:r>
      <w:r>
        <w:rPr>
          <w:rFonts w:hint="eastAsia" w:cs="Times New Roman" w:asciiTheme="majorEastAsia" w:hAnsiTheme="majorEastAsia" w:eastAsiaTheme="majorEastAsia"/>
          <w:sz w:val="28"/>
          <w:szCs w:val="28"/>
        </w:rPr>
        <w:t>并研究海外减排项目参与CCER的制度框架，最终提出政策建议。</w:t>
      </w:r>
      <w:r>
        <w:rPr>
          <w:rFonts w:cs="Times New Roman" w:asciiTheme="majorEastAsia" w:hAnsiTheme="majorEastAsia" w:eastAsiaTheme="majorEastAsia"/>
          <w:sz w:val="28"/>
          <w:szCs w:val="28"/>
        </w:rPr>
        <w:t>重点聚焦</w:t>
      </w:r>
      <w:r>
        <w:rPr>
          <w:rFonts w:hint="eastAsia" w:cs="Times New Roman" w:asciiTheme="majorEastAsia" w:hAnsiTheme="majorEastAsia" w:eastAsiaTheme="majorEastAsia"/>
          <w:sz w:val="28"/>
          <w:szCs w:val="28"/>
        </w:rPr>
        <w:t>以下方面：</w:t>
      </w:r>
    </w:p>
    <w:p w14:paraId="5AA91AF0">
      <w:pPr>
        <w:numPr>
          <w:ilvl w:val="0"/>
          <w:numId w:val="2"/>
        </w:numPr>
        <w:spacing w:before="156" w:beforeLines="50" w:after="156" w:afterLines="50"/>
        <w:rPr>
          <w:rStyle w:val="15"/>
        </w:rPr>
      </w:pPr>
      <w:r>
        <w:rPr>
          <w:rFonts w:cs="Times New Roman" w:asciiTheme="majorEastAsia" w:hAnsiTheme="majorEastAsia" w:eastAsiaTheme="majorEastAsia"/>
          <w:sz w:val="28"/>
          <w:szCs w:val="28"/>
        </w:rPr>
        <w:t>中国</w:t>
      </w:r>
      <w:r>
        <w:rPr>
          <w:rFonts w:hint="eastAsia" w:cs="Times New Roman" w:asciiTheme="majorEastAsia" w:hAnsiTheme="majorEastAsia" w:eastAsiaTheme="majorEastAsia"/>
          <w:sz w:val="28"/>
          <w:szCs w:val="28"/>
        </w:rPr>
        <w:t>作为碳信用卖方或买方</w:t>
      </w:r>
      <w:r>
        <w:rPr>
          <w:rFonts w:cs="Times New Roman" w:asciiTheme="majorEastAsia" w:hAnsiTheme="majorEastAsia" w:eastAsiaTheme="majorEastAsia"/>
          <w:sz w:val="28"/>
          <w:szCs w:val="28"/>
        </w:rPr>
        <w:t>参与《巴黎协定》第6条</w:t>
      </w:r>
      <w:r>
        <w:rPr>
          <w:rFonts w:hint="eastAsia" w:cs="Times New Roman" w:asciiTheme="majorEastAsia" w:hAnsiTheme="majorEastAsia" w:eastAsiaTheme="majorEastAsia"/>
          <w:sz w:val="28"/>
          <w:szCs w:val="28"/>
        </w:rPr>
        <w:t>合作方法</w:t>
      </w:r>
      <w:r>
        <w:rPr>
          <w:rFonts w:cs="Times New Roman" w:asciiTheme="majorEastAsia" w:hAnsiTheme="majorEastAsia" w:eastAsiaTheme="majorEastAsia"/>
          <w:sz w:val="28"/>
          <w:szCs w:val="28"/>
        </w:rPr>
        <w:t>的</w:t>
      </w:r>
      <w:r>
        <w:rPr>
          <w:rFonts w:hint="eastAsia" w:cs="Times New Roman" w:asciiTheme="majorEastAsia" w:hAnsiTheme="majorEastAsia" w:eastAsiaTheme="majorEastAsia"/>
          <w:sz w:val="28"/>
          <w:szCs w:val="28"/>
        </w:rPr>
        <w:t>战略评估，以及对CCER碳信用作为</w:t>
      </w:r>
      <w:r>
        <w:rPr>
          <w:rFonts w:cs="Times New Roman" w:asciiTheme="majorEastAsia" w:hAnsiTheme="majorEastAsia" w:eastAsiaTheme="majorEastAsia"/>
          <w:sz w:val="28"/>
          <w:szCs w:val="28"/>
        </w:rPr>
        <w:t>ITMOs的前瞻性分析；</w:t>
      </w:r>
    </w:p>
    <w:p w14:paraId="6D4E7551">
      <w:pPr>
        <w:numPr>
          <w:ilvl w:val="0"/>
          <w:numId w:val="2"/>
        </w:numPr>
        <w:spacing w:before="156" w:beforeLines="50" w:after="156" w:afterLines="50"/>
        <w:rPr>
          <w:rStyle w:val="15"/>
        </w:rPr>
      </w:pPr>
      <w:r>
        <w:rPr>
          <w:rFonts w:cs="Times New Roman" w:asciiTheme="majorEastAsia" w:hAnsiTheme="majorEastAsia" w:eastAsiaTheme="majorEastAsia"/>
          <w:sz w:val="28"/>
          <w:szCs w:val="28"/>
        </w:rPr>
        <w:t>CCER参与CORSIA的</w:t>
      </w:r>
      <w:r>
        <w:rPr>
          <w:rFonts w:hint="eastAsia" w:cs="Times New Roman" w:asciiTheme="majorEastAsia" w:hAnsiTheme="majorEastAsia" w:eastAsiaTheme="majorEastAsia"/>
          <w:sz w:val="28"/>
          <w:szCs w:val="28"/>
        </w:rPr>
        <w:t>战略</w:t>
      </w:r>
      <w:r>
        <w:rPr>
          <w:rFonts w:cs="Times New Roman" w:asciiTheme="majorEastAsia" w:hAnsiTheme="majorEastAsia" w:eastAsiaTheme="majorEastAsia"/>
          <w:sz w:val="28"/>
          <w:szCs w:val="28"/>
        </w:rPr>
        <w:t>评估</w:t>
      </w:r>
      <w:r>
        <w:rPr>
          <w:rFonts w:hint="eastAsia" w:cs="Times New Roman" w:asciiTheme="majorEastAsia" w:hAnsiTheme="majorEastAsia" w:eastAsiaTheme="majorEastAsia"/>
          <w:sz w:val="28"/>
          <w:szCs w:val="28"/>
        </w:rPr>
        <w:t>及技术分析</w:t>
      </w:r>
      <w:r>
        <w:rPr>
          <w:rFonts w:cs="Times New Roman" w:asciiTheme="majorEastAsia" w:hAnsiTheme="majorEastAsia" w:eastAsiaTheme="majorEastAsia"/>
          <w:sz w:val="28"/>
          <w:szCs w:val="28"/>
        </w:rPr>
        <w:t>；</w:t>
      </w:r>
    </w:p>
    <w:p w14:paraId="70D2B479">
      <w:pPr>
        <w:numPr>
          <w:ilvl w:val="0"/>
          <w:numId w:val="2"/>
        </w:numPr>
        <w:spacing w:before="156" w:beforeLines="50" w:after="156" w:afterLines="50"/>
        <w:rPr>
          <w:rStyle w:val="15"/>
        </w:rPr>
      </w:pPr>
      <w:r>
        <w:rPr>
          <w:rFonts w:hint="eastAsia" w:cs="Times New Roman" w:asciiTheme="majorEastAsia" w:hAnsiTheme="majorEastAsia" w:eastAsiaTheme="majorEastAsia"/>
          <w:sz w:val="28"/>
          <w:szCs w:val="28"/>
        </w:rPr>
        <w:t>中国参与其他成果导向型气候融资机制</w:t>
      </w:r>
      <w:r>
        <w:rPr>
          <w:rStyle w:val="16"/>
          <w:rFonts w:cs="Times New Roman" w:asciiTheme="majorEastAsia" w:hAnsiTheme="majorEastAsia" w:eastAsiaTheme="majorEastAsia"/>
          <w:sz w:val="28"/>
          <w:szCs w:val="28"/>
        </w:rPr>
        <w:footnoteReference w:id="3"/>
      </w:r>
      <w:r>
        <w:rPr>
          <w:rFonts w:hint="eastAsia" w:cs="Times New Roman" w:asciiTheme="majorEastAsia" w:hAnsiTheme="majorEastAsia" w:eastAsiaTheme="majorEastAsia"/>
          <w:sz w:val="28"/>
          <w:szCs w:val="28"/>
        </w:rPr>
        <w:t>的战略评估；</w:t>
      </w:r>
    </w:p>
    <w:p w14:paraId="7B6EE596">
      <w:pPr>
        <w:numPr>
          <w:ilvl w:val="0"/>
          <w:numId w:val="2"/>
        </w:numPr>
        <w:spacing w:before="156" w:beforeLines="50" w:after="156" w:afterLines="50"/>
        <w:rPr>
          <w:rStyle w:val="15"/>
        </w:rPr>
      </w:pPr>
      <w:r>
        <w:rPr>
          <w:rFonts w:cs="Times New Roman" w:asciiTheme="majorEastAsia" w:hAnsiTheme="majorEastAsia" w:eastAsiaTheme="majorEastAsia"/>
          <w:sz w:val="28"/>
          <w:szCs w:val="28"/>
        </w:rPr>
        <w:t>CCER登记簿与</w:t>
      </w:r>
      <w:r>
        <w:rPr>
          <w:rFonts w:hint="eastAsia" w:cs="Times New Roman" w:asciiTheme="majorEastAsia" w:hAnsiTheme="majorEastAsia" w:eastAsiaTheme="majorEastAsia"/>
          <w:sz w:val="28"/>
          <w:szCs w:val="28"/>
        </w:rPr>
        <w:t>国际</w:t>
      </w:r>
      <w:r>
        <w:rPr>
          <w:rFonts w:cs="Times New Roman" w:asciiTheme="majorEastAsia" w:hAnsiTheme="majorEastAsia" w:eastAsiaTheme="majorEastAsia"/>
          <w:sz w:val="28"/>
          <w:szCs w:val="28"/>
        </w:rPr>
        <w:t>登记簿</w:t>
      </w:r>
      <w:r>
        <w:rPr>
          <w:rFonts w:hint="eastAsia" w:cs="Times New Roman" w:asciiTheme="majorEastAsia" w:hAnsiTheme="majorEastAsia" w:eastAsiaTheme="majorEastAsia"/>
          <w:sz w:val="28"/>
          <w:szCs w:val="28"/>
        </w:rPr>
        <w:t>系统衔接</w:t>
      </w:r>
      <w:r>
        <w:rPr>
          <w:rFonts w:cs="Times New Roman" w:asciiTheme="majorEastAsia" w:hAnsiTheme="majorEastAsia" w:eastAsiaTheme="majorEastAsia"/>
          <w:sz w:val="28"/>
          <w:szCs w:val="28"/>
        </w:rPr>
        <w:t>的技术</w:t>
      </w:r>
      <w:r>
        <w:rPr>
          <w:rFonts w:hint="eastAsia" w:cs="Times New Roman" w:asciiTheme="majorEastAsia" w:hAnsiTheme="majorEastAsia" w:eastAsiaTheme="majorEastAsia"/>
          <w:sz w:val="28"/>
          <w:szCs w:val="28"/>
        </w:rPr>
        <w:t>评估；</w:t>
      </w:r>
    </w:p>
    <w:p w14:paraId="6EB233FA">
      <w:pPr>
        <w:numPr>
          <w:ilvl w:val="0"/>
          <w:numId w:val="2"/>
        </w:numPr>
        <w:spacing w:before="156" w:beforeLines="50" w:after="156" w:afterLines="5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中国</w:t>
      </w:r>
      <w:r>
        <w:rPr>
          <w:rFonts w:hint="eastAsia" w:cs="Times New Roman" w:asciiTheme="majorEastAsia" w:hAnsiTheme="majorEastAsia" w:eastAsiaTheme="majorEastAsia"/>
          <w:sz w:val="28"/>
          <w:szCs w:val="28"/>
        </w:rPr>
        <w:t>利益相关方</w:t>
      </w:r>
      <w:r>
        <w:rPr>
          <w:rFonts w:cs="Times New Roman" w:asciiTheme="majorEastAsia" w:hAnsiTheme="majorEastAsia" w:eastAsiaTheme="majorEastAsia"/>
          <w:sz w:val="28"/>
          <w:szCs w:val="28"/>
        </w:rPr>
        <w:t>作为碳信用/</w:t>
      </w:r>
      <w:r>
        <w:rPr>
          <w:rFonts w:hint="eastAsia" w:cs="Times New Roman" w:asciiTheme="majorEastAsia" w:hAnsiTheme="majorEastAsia" w:eastAsiaTheme="majorEastAsia"/>
          <w:sz w:val="28"/>
          <w:szCs w:val="28"/>
        </w:rPr>
        <w:t>减排量</w:t>
      </w:r>
      <w:r>
        <w:rPr>
          <w:rFonts w:cs="Times New Roman" w:asciiTheme="majorEastAsia" w:hAnsiTheme="majorEastAsia" w:eastAsiaTheme="majorEastAsia"/>
          <w:sz w:val="28"/>
          <w:szCs w:val="28"/>
        </w:rPr>
        <w:t>卖方参与跨国公司供应链脱碳倡议</w:t>
      </w:r>
      <w:r>
        <w:rPr>
          <w:rStyle w:val="16"/>
          <w:rFonts w:cs="Times New Roman" w:asciiTheme="majorEastAsia" w:hAnsiTheme="majorEastAsia" w:eastAsiaTheme="majorEastAsia"/>
          <w:sz w:val="28"/>
          <w:szCs w:val="28"/>
        </w:rPr>
        <w:footnoteReference w:id="4"/>
      </w:r>
      <w:r>
        <w:rPr>
          <w:rFonts w:cs="Times New Roman" w:asciiTheme="majorEastAsia" w:hAnsiTheme="majorEastAsia" w:eastAsiaTheme="majorEastAsia"/>
          <w:sz w:val="28"/>
          <w:szCs w:val="28"/>
        </w:rPr>
        <w:t>的</w:t>
      </w:r>
      <w:r>
        <w:rPr>
          <w:rFonts w:hint="eastAsia" w:cs="Times New Roman" w:asciiTheme="majorEastAsia" w:hAnsiTheme="majorEastAsia" w:eastAsiaTheme="majorEastAsia"/>
          <w:sz w:val="28"/>
          <w:szCs w:val="28"/>
        </w:rPr>
        <w:t>评估</w:t>
      </w:r>
      <w:r>
        <w:rPr>
          <w:rFonts w:cs="Times New Roman" w:asciiTheme="majorEastAsia" w:hAnsiTheme="majorEastAsia" w:eastAsiaTheme="majorEastAsia"/>
          <w:sz w:val="28"/>
          <w:szCs w:val="28"/>
        </w:rPr>
        <w:t>；</w:t>
      </w:r>
    </w:p>
    <w:p w14:paraId="46766B18">
      <w:pPr>
        <w:numPr>
          <w:ilvl w:val="0"/>
          <w:numId w:val="2"/>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海外减排项目参与</w:t>
      </w:r>
      <w:r>
        <w:rPr>
          <w:rFonts w:cs="Times New Roman" w:asciiTheme="majorEastAsia" w:hAnsiTheme="majorEastAsia" w:eastAsiaTheme="majorEastAsia"/>
          <w:sz w:val="28"/>
          <w:szCs w:val="28"/>
        </w:rPr>
        <w:t>CCER</w:t>
      </w:r>
      <w:r>
        <w:rPr>
          <w:rFonts w:hint="eastAsia" w:cs="Times New Roman" w:asciiTheme="majorEastAsia" w:hAnsiTheme="majorEastAsia" w:eastAsiaTheme="majorEastAsia"/>
          <w:sz w:val="28"/>
          <w:szCs w:val="28"/>
        </w:rPr>
        <w:t>的制度框架研究；</w:t>
      </w:r>
    </w:p>
    <w:p w14:paraId="7BE00F41">
      <w:pPr>
        <w:numPr>
          <w:ilvl w:val="0"/>
          <w:numId w:val="2"/>
        </w:numPr>
        <w:spacing w:before="156" w:beforeLines="50" w:after="156" w:afterLines="5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跨境碳交易机制框架的政策建议</w:t>
      </w:r>
      <w:r>
        <w:rPr>
          <w:rFonts w:hint="eastAsia" w:cs="Times New Roman" w:asciiTheme="majorEastAsia" w:hAnsiTheme="majorEastAsia" w:eastAsiaTheme="majorEastAsia"/>
          <w:sz w:val="28"/>
          <w:szCs w:val="28"/>
        </w:rPr>
        <w:t>及框架草案</w:t>
      </w:r>
      <w:r>
        <w:rPr>
          <w:rFonts w:cs="Times New Roman" w:asciiTheme="majorEastAsia" w:hAnsiTheme="majorEastAsia" w:eastAsiaTheme="majorEastAsia"/>
          <w:sz w:val="28"/>
          <w:szCs w:val="28"/>
        </w:rPr>
        <w:t>。</w:t>
      </w:r>
    </w:p>
    <w:p w14:paraId="3DE46A41">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在PMO总体协调下，本分包任务需与PMI-1</w:t>
      </w:r>
      <w:r>
        <w:rPr>
          <w:rStyle w:val="16"/>
          <w:rFonts w:cs="Times New Roman" w:asciiTheme="majorEastAsia" w:hAnsiTheme="majorEastAsia" w:eastAsiaTheme="majorEastAsia"/>
          <w:sz w:val="28"/>
          <w:szCs w:val="28"/>
        </w:rPr>
        <w:footnoteReference w:id="5"/>
      </w:r>
      <w:r>
        <w:rPr>
          <w:rFonts w:cs="Times New Roman" w:asciiTheme="majorEastAsia" w:hAnsiTheme="majorEastAsia" w:eastAsiaTheme="majorEastAsia"/>
          <w:sz w:val="28"/>
          <w:szCs w:val="28"/>
        </w:rPr>
        <w:t>，PMI-2</w:t>
      </w:r>
      <w:r>
        <w:rPr>
          <w:rStyle w:val="16"/>
          <w:rFonts w:cs="Times New Roman" w:asciiTheme="majorEastAsia" w:hAnsiTheme="majorEastAsia" w:eastAsiaTheme="majorEastAsia"/>
          <w:sz w:val="28"/>
          <w:szCs w:val="28"/>
        </w:rPr>
        <w:footnoteReference w:id="6"/>
      </w:r>
      <w:r>
        <w:rPr>
          <w:rFonts w:cs="Times New Roman" w:asciiTheme="majorEastAsia" w:hAnsiTheme="majorEastAsia" w:eastAsiaTheme="majorEastAsia"/>
          <w:sz w:val="28"/>
          <w:szCs w:val="28"/>
        </w:rPr>
        <w:t>，PMI-3</w:t>
      </w:r>
      <w:r>
        <w:rPr>
          <w:rStyle w:val="16"/>
          <w:rFonts w:cs="Times New Roman" w:asciiTheme="majorEastAsia" w:hAnsiTheme="majorEastAsia" w:eastAsiaTheme="majorEastAsia"/>
          <w:sz w:val="28"/>
          <w:szCs w:val="28"/>
        </w:rPr>
        <w:footnoteReference w:id="7"/>
      </w:r>
      <w:r>
        <w:rPr>
          <w:rFonts w:cs="Times New Roman" w:asciiTheme="majorEastAsia" w:hAnsiTheme="majorEastAsia" w:eastAsiaTheme="majorEastAsia"/>
          <w:sz w:val="28"/>
          <w:szCs w:val="28"/>
        </w:rPr>
        <w:t>，PMI-4</w:t>
      </w:r>
      <w:r>
        <w:rPr>
          <w:rStyle w:val="16"/>
          <w:rFonts w:cs="Times New Roman" w:asciiTheme="majorEastAsia" w:hAnsiTheme="majorEastAsia" w:eastAsiaTheme="majorEastAsia"/>
          <w:sz w:val="28"/>
          <w:szCs w:val="28"/>
        </w:rPr>
        <w:footnoteReference w:id="8"/>
      </w:r>
      <w:r>
        <w:rPr>
          <w:rFonts w:cs="Times New Roman" w:asciiTheme="majorEastAsia" w:hAnsiTheme="majorEastAsia" w:eastAsiaTheme="majorEastAsia"/>
          <w:sz w:val="28"/>
          <w:szCs w:val="28"/>
        </w:rPr>
        <w:t>，PMI-15</w:t>
      </w:r>
      <w:r>
        <w:rPr>
          <w:rStyle w:val="16"/>
          <w:rFonts w:cs="Times New Roman" w:asciiTheme="majorEastAsia" w:hAnsiTheme="majorEastAsia" w:eastAsiaTheme="majorEastAsia"/>
          <w:sz w:val="28"/>
          <w:szCs w:val="28"/>
        </w:rPr>
        <w:footnoteReference w:id="9"/>
      </w:r>
      <w:r>
        <w:rPr>
          <w:rFonts w:cs="Times New Roman" w:asciiTheme="majorEastAsia" w:hAnsiTheme="majorEastAsia" w:eastAsiaTheme="majorEastAsia"/>
          <w:sz w:val="28"/>
          <w:szCs w:val="28"/>
        </w:rPr>
        <w:t>等其他分包任务承担单位保持技术协作与信息共享，确保研究的系统性与一致性。</w:t>
      </w:r>
    </w:p>
    <w:p w14:paraId="7ECD1241">
      <w:pPr>
        <w:pStyle w:val="3"/>
        <w:spacing w:before="156" w:beforeLines="50" w:after="156" w:afterLines="50" w:line="240" w:lineRule="auto"/>
        <w:ind w:firstLine="56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3.2 任务要求描述</w:t>
      </w:r>
    </w:p>
    <w:p w14:paraId="6403613D">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3.2.</w:t>
      </w:r>
      <w:r>
        <w:rPr>
          <w:rFonts w:hint="eastAsia" w:cs="Times New Roman" w:asciiTheme="majorEastAsia" w:hAnsiTheme="majorEastAsia" w:eastAsiaTheme="majorEastAsia"/>
          <w:sz w:val="28"/>
          <w:szCs w:val="28"/>
        </w:rPr>
        <w:t>1</w:t>
      </w:r>
      <w:r>
        <w:rPr>
          <w:rFonts w:cs="Times New Roman" w:asciiTheme="majorEastAsia" w:hAnsiTheme="majorEastAsia" w:eastAsiaTheme="majorEastAsia"/>
          <w:sz w:val="28"/>
          <w:szCs w:val="28"/>
        </w:rPr>
        <w:t xml:space="preserve"> </w:t>
      </w:r>
      <w:r>
        <w:rPr>
          <w:rFonts w:hint="eastAsia" w:cs="Times New Roman" w:asciiTheme="majorEastAsia" w:hAnsiTheme="majorEastAsia" w:eastAsiaTheme="majorEastAsia"/>
          <w:sz w:val="28"/>
          <w:szCs w:val="28"/>
        </w:rPr>
        <w:t>国内碳定价工具与国际碳交易机制链接的战略评估</w:t>
      </w:r>
    </w:p>
    <w:p w14:paraId="6DF18525">
      <w:pPr>
        <w:widowControl/>
        <w:ind w:firstLine="560" w:firstLineChars="200"/>
        <w:jc w:val="lef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本任务聚焦国内碳定价工具与国际碳交易机制链接的战略方向与制度规则，涵盖《巴黎协定》第6条、CORSIA、以及结果导向型气候融资机制。内容包括但不限于：</w:t>
      </w:r>
    </w:p>
    <w:p w14:paraId="5926E229">
      <w:pPr>
        <w:widowControl/>
        <w:ind w:firstLine="560" w:firstLineChars="200"/>
        <w:jc w:val="left"/>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 xml:space="preserve">a. </w:t>
      </w:r>
      <w:r>
        <w:rPr>
          <w:rFonts w:hint="eastAsia" w:cs="Times New Roman" w:asciiTheme="majorEastAsia" w:hAnsiTheme="majorEastAsia" w:eastAsiaTheme="majorEastAsia"/>
          <w:sz w:val="28"/>
          <w:szCs w:val="28"/>
        </w:rPr>
        <w:t>《巴黎协定》第6条框架下的战略评估</w:t>
      </w:r>
    </w:p>
    <w:p w14:paraId="49750346">
      <w:pPr>
        <w:widowControl/>
        <w:ind w:firstLine="560" w:firstLineChars="200"/>
        <w:jc w:val="left"/>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系统梳理《巴黎协定》第6条</w:t>
      </w:r>
      <w:r>
        <w:rPr>
          <w:rFonts w:hint="eastAsia" w:cs="Times New Roman" w:asciiTheme="majorEastAsia" w:hAnsiTheme="majorEastAsia" w:eastAsiaTheme="majorEastAsia"/>
          <w:sz w:val="28"/>
          <w:szCs w:val="28"/>
        </w:rPr>
        <w:t>框架下的</w:t>
      </w:r>
      <w:r>
        <w:rPr>
          <w:rFonts w:cs="Times New Roman" w:asciiTheme="majorEastAsia" w:hAnsiTheme="majorEastAsia" w:eastAsiaTheme="majorEastAsia"/>
          <w:sz w:val="28"/>
          <w:szCs w:val="28"/>
        </w:rPr>
        <w:t>合作方法及第6.4条</w:t>
      </w:r>
      <w:r>
        <w:rPr>
          <w:rFonts w:hint="eastAsia" w:cs="Times New Roman" w:asciiTheme="majorEastAsia" w:hAnsiTheme="majorEastAsia" w:eastAsiaTheme="majorEastAsia"/>
          <w:sz w:val="28"/>
          <w:szCs w:val="28"/>
        </w:rPr>
        <w:t>框架下</w:t>
      </w:r>
      <w:r>
        <w:rPr>
          <w:rFonts w:cs="Times New Roman" w:asciiTheme="majorEastAsia" w:hAnsiTheme="majorEastAsia" w:eastAsiaTheme="majorEastAsia"/>
          <w:sz w:val="28"/>
          <w:szCs w:val="28"/>
        </w:rPr>
        <w:t>机制的规则框架</w:t>
      </w:r>
      <w:r>
        <w:rPr>
          <w:rFonts w:hint="eastAsia" w:cs="Times New Roman" w:asciiTheme="majorEastAsia" w:hAnsiTheme="majorEastAsia" w:eastAsiaTheme="majorEastAsia"/>
          <w:sz w:val="28"/>
          <w:szCs w:val="28"/>
        </w:rPr>
        <w:t>、参与条件及关键程序；</w:t>
      </w:r>
      <w:r>
        <w:rPr>
          <w:rFonts w:cs="Times New Roman" w:asciiTheme="majorEastAsia" w:hAnsiTheme="majorEastAsia" w:eastAsiaTheme="majorEastAsia"/>
          <w:sz w:val="28"/>
          <w:szCs w:val="28"/>
        </w:rPr>
        <w:t>评估中国</w:t>
      </w:r>
      <w:r>
        <w:rPr>
          <w:rFonts w:hint="eastAsia" w:cs="Times New Roman" w:asciiTheme="majorEastAsia" w:hAnsiTheme="majorEastAsia" w:eastAsiaTheme="majorEastAsia"/>
          <w:sz w:val="28"/>
          <w:szCs w:val="28"/>
        </w:rPr>
        <w:t>利益相关方</w:t>
      </w:r>
      <w:r>
        <w:rPr>
          <w:rFonts w:cs="Times New Roman" w:asciiTheme="majorEastAsia" w:hAnsiTheme="majorEastAsia" w:eastAsiaTheme="majorEastAsia"/>
          <w:sz w:val="28"/>
          <w:szCs w:val="28"/>
        </w:rPr>
        <w:t>作为</w:t>
      </w:r>
      <w:r>
        <w:rPr>
          <w:rFonts w:hint="eastAsia" w:cs="Times New Roman" w:asciiTheme="majorEastAsia" w:hAnsiTheme="majorEastAsia" w:eastAsiaTheme="majorEastAsia"/>
          <w:sz w:val="28"/>
          <w:szCs w:val="28"/>
        </w:rPr>
        <w:t>ITMOs</w:t>
      </w:r>
      <w:r>
        <w:rPr>
          <w:rFonts w:cs="Times New Roman" w:asciiTheme="majorEastAsia" w:hAnsiTheme="majorEastAsia" w:eastAsiaTheme="majorEastAsia"/>
          <w:sz w:val="28"/>
          <w:szCs w:val="28"/>
        </w:rPr>
        <w:t>卖方</w:t>
      </w:r>
      <w:r>
        <w:rPr>
          <w:rFonts w:hint="eastAsia" w:cs="Times New Roman" w:asciiTheme="majorEastAsia" w:hAnsiTheme="majorEastAsia" w:eastAsiaTheme="majorEastAsia"/>
          <w:sz w:val="28"/>
          <w:szCs w:val="28"/>
        </w:rPr>
        <w:t>或</w:t>
      </w:r>
      <w:r>
        <w:rPr>
          <w:rFonts w:cs="Times New Roman" w:asciiTheme="majorEastAsia" w:hAnsiTheme="majorEastAsia" w:eastAsiaTheme="majorEastAsia"/>
          <w:sz w:val="28"/>
          <w:szCs w:val="28"/>
        </w:rPr>
        <w:t>买方的潜在角色定位</w:t>
      </w:r>
      <w:r>
        <w:rPr>
          <w:rFonts w:hint="eastAsia" w:cs="Times New Roman" w:asciiTheme="majorEastAsia" w:hAnsiTheme="majorEastAsia" w:eastAsiaTheme="majorEastAsia"/>
          <w:sz w:val="28"/>
          <w:szCs w:val="28"/>
        </w:rPr>
        <w:t>；分析中国CCER碳信用作为ITMOs的制度路径；</w:t>
      </w:r>
      <w:r>
        <w:rPr>
          <w:rFonts w:cs="Times New Roman" w:asciiTheme="majorEastAsia" w:hAnsiTheme="majorEastAsia" w:eastAsiaTheme="majorEastAsia"/>
          <w:sz w:val="28"/>
          <w:szCs w:val="28"/>
        </w:rPr>
        <w:t>分析参与</w:t>
      </w:r>
      <w:r>
        <w:rPr>
          <w:rFonts w:hint="eastAsia" w:cs="Times New Roman" w:asciiTheme="majorEastAsia" w:hAnsiTheme="majorEastAsia" w:eastAsiaTheme="majorEastAsia"/>
          <w:sz w:val="28"/>
          <w:szCs w:val="28"/>
        </w:rPr>
        <w:t>ITMOs及其他</w:t>
      </w:r>
      <w:r>
        <w:rPr>
          <w:rFonts w:cs="Times New Roman" w:asciiTheme="majorEastAsia" w:hAnsiTheme="majorEastAsia" w:eastAsiaTheme="majorEastAsia"/>
          <w:sz w:val="28"/>
          <w:szCs w:val="28"/>
        </w:rPr>
        <w:t>国际碳信用标的物转让对中国实现</w:t>
      </w:r>
      <w:r>
        <w:rPr>
          <w:rFonts w:hint="eastAsia" w:cs="Times New Roman" w:asciiTheme="majorEastAsia" w:hAnsiTheme="majorEastAsia" w:eastAsiaTheme="majorEastAsia"/>
          <w:sz w:val="28"/>
          <w:szCs w:val="28"/>
        </w:rPr>
        <w:t>NDC</w:t>
      </w:r>
      <w:r>
        <w:rPr>
          <w:rFonts w:cs="Times New Roman" w:asciiTheme="majorEastAsia" w:hAnsiTheme="majorEastAsia" w:eastAsiaTheme="majorEastAsia"/>
          <w:sz w:val="28"/>
          <w:szCs w:val="28"/>
        </w:rPr>
        <w:t>目标的影响，</w:t>
      </w:r>
      <w:r>
        <w:rPr>
          <w:rFonts w:hint="eastAsia" w:cs="Times New Roman" w:asciiTheme="majorEastAsia" w:hAnsiTheme="majorEastAsia" w:eastAsiaTheme="majorEastAsia"/>
          <w:sz w:val="28"/>
          <w:szCs w:val="28"/>
        </w:rPr>
        <w:t>并进行</w:t>
      </w:r>
      <w:r>
        <w:rPr>
          <w:rFonts w:cs="Times New Roman" w:asciiTheme="majorEastAsia" w:hAnsiTheme="majorEastAsia" w:eastAsiaTheme="majorEastAsia"/>
          <w:sz w:val="28"/>
          <w:szCs w:val="28"/>
        </w:rPr>
        <w:t>出口碳信用与</w:t>
      </w:r>
      <w:r>
        <w:rPr>
          <w:rFonts w:hint="eastAsia" w:cs="Times New Roman" w:asciiTheme="majorEastAsia" w:hAnsiTheme="majorEastAsia" w:eastAsiaTheme="majorEastAsia"/>
          <w:sz w:val="28"/>
          <w:szCs w:val="28"/>
        </w:rPr>
        <w:t>留存</w:t>
      </w:r>
      <w:r>
        <w:rPr>
          <w:rFonts w:cs="Times New Roman" w:asciiTheme="majorEastAsia" w:hAnsiTheme="majorEastAsia" w:eastAsiaTheme="majorEastAsia"/>
          <w:sz w:val="28"/>
          <w:szCs w:val="28"/>
        </w:rPr>
        <w:t>用于国内NDC履约</w:t>
      </w:r>
      <w:r>
        <w:rPr>
          <w:rStyle w:val="16"/>
          <w:rFonts w:cs="Times New Roman" w:asciiTheme="majorEastAsia" w:hAnsiTheme="majorEastAsia" w:eastAsiaTheme="majorEastAsia"/>
          <w:sz w:val="28"/>
          <w:szCs w:val="28"/>
        </w:rPr>
        <w:footnoteReference w:id="10"/>
      </w:r>
      <w:r>
        <w:rPr>
          <w:rFonts w:cs="Times New Roman" w:asciiTheme="majorEastAsia" w:hAnsiTheme="majorEastAsia" w:eastAsiaTheme="majorEastAsia"/>
          <w:sz w:val="28"/>
          <w:szCs w:val="28"/>
        </w:rPr>
        <w:t>之间的机会成本分析</w:t>
      </w:r>
      <w:r>
        <w:rPr>
          <w:rFonts w:hint="eastAsia" w:cs="Times New Roman" w:asciiTheme="majorEastAsia" w:hAnsiTheme="majorEastAsia" w:eastAsiaTheme="majorEastAsia"/>
          <w:sz w:val="28"/>
          <w:szCs w:val="28"/>
        </w:rPr>
        <w:t>（要求给出不同国际碳价情景下的定量或半定量评估结论）</w:t>
      </w:r>
      <w:r>
        <w:rPr>
          <w:rFonts w:cs="Times New Roman" w:asciiTheme="majorEastAsia" w:hAnsiTheme="majorEastAsia" w:eastAsiaTheme="majorEastAsia"/>
          <w:sz w:val="28"/>
          <w:szCs w:val="28"/>
        </w:rPr>
        <w:t>；研究ITMOs授权的内容范围、授权主体、授权时机等关键环节，结合</w:t>
      </w:r>
      <w:r>
        <w:rPr>
          <w:rFonts w:hint="eastAsia" w:cs="Times New Roman" w:asciiTheme="majorEastAsia" w:hAnsiTheme="majorEastAsia" w:eastAsiaTheme="majorEastAsia"/>
          <w:sz w:val="28"/>
          <w:szCs w:val="28"/>
        </w:rPr>
        <w:t>国际</w:t>
      </w:r>
      <w:r>
        <w:rPr>
          <w:rFonts w:cs="Times New Roman" w:asciiTheme="majorEastAsia" w:hAnsiTheme="majorEastAsia" w:eastAsiaTheme="majorEastAsia"/>
          <w:sz w:val="28"/>
          <w:szCs w:val="28"/>
        </w:rPr>
        <w:t>实践经验提出中国授权机制的设计建议</w:t>
      </w:r>
      <w:r>
        <w:rPr>
          <w:rFonts w:hint="eastAsia" w:cs="Times New Roman" w:asciiTheme="majorEastAsia" w:hAnsiTheme="majorEastAsia" w:eastAsiaTheme="majorEastAsia"/>
          <w:sz w:val="28"/>
          <w:szCs w:val="28"/>
        </w:rPr>
        <w:t>，</w:t>
      </w:r>
      <w:r>
        <w:rPr>
          <w:rFonts w:cs="Times New Roman" w:asciiTheme="majorEastAsia" w:hAnsiTheme="majorEastAsia" w:eastAsiaTheme="majorEastAsia"/>
          <w:sz w:val="28"/>
          <w:szCs w:val="28"/>
        </w:rPr>
        <w:t>分析</w:t>
      </w:r>
      <w:r>
        <w:rPr>
          <w:rFonts w:hint="eastAsia" w:cs="Times New Roman" w:asciiTheme="majorEastAsia" w:hAnsiTheme="majorEastAsia" w:eastAsiaTheme="majorEastAsia"/>
          <w:sz w:val="28"/>
          <w:szCs w:val="28"/>
        </w:rPr>
        <w:t>为防止双重计算的</w:t>
      </w:r>
      <w:r>
        <w:rPr>
          <w:rFonts w:cs="Times New Roman" w:asciiTheme="majorEastAsia" w:hAnsiTheme="majorEastAsia" w:eastAsiaTheme="majorEastAsia"/>
          <w:sz w:val="28"/>
          <w:szCs w:val="28"/>
        </w:rPr>
        <w:t>相应调整的触发环节及报告要求，</w:t>
      </w:r>
      <w:r>
        <w:rPr>
          <w:rFonts w:hint="eastAsia" w:cs="Times New Roman" w:asciiTheme="majorEastAsia" w:hAnsiTheme="majorEastAsia" w:eastAsiaTheme="majorEastAsia"/>
          <w:sz w:val="28"/>
          <w:szCs w:val="28"/>
        </w:rPr>
        <w:t>及</w:t>
      </w:r>
      <w:r>
        <w:rPr>
          <w:rFonts w:cs="Times New Roman" w:asciiTheme="majorEastAsia" w:hAnsiTheme="majorEastAsia" w:eastAsiaTheme="majorEastAsia"/>
          <w:sz w:val="28"/>
          <w:szCs w:val="28"/>
        </w:rPr>
        <w:t>相应调整对中国排放核算和履约的影响；</w:t>
      </w:r>
      <w:r>
        <w:rPr>
          <w:rFonts w:hint="eastAsia" w:cs="Times New Roman" w:asciiTheme="majorEastAsia" w:hAnsiTheme="majorEastAsia" w:eastAsiaTheme="majorEastAsia"/>
          <w:sz w:val="28"/>
          <w:szCs w:val="28"/>
        </w:rPr>
        <w:t>分析</w:t>
      </w:r>
      <w:r>
        <w:rPr>
          <w:rFonts w:cs="Times New Roman" w:asciiTheme="majorEastAsia" w:hAnsiTheme="majorEastAsia" w:eastAsiaTheme="majorEastAsia"/>
          <w:sz w:val="28"/>
          <w:szCs w:val="28"/>
        </w:rPr>
        <w:t>中国参与第6.4条</w:t>
      </w:r>
      <w:r>
        <w:rPr>
          <w:rFonts w:hint="eastAsia" w:cs="Times New Roman" w:asciiTheme="majorEastAsia" w:hAnsiTheme="majorEastAsia" w:eastAsiaTheme="majorEastAsia"/>
          <w:sz w:val="28"/>
          <w:szCs w:val="28"/>
        </w:rPr>
        <w:t>框架</w:t>
      </w:r>
      <w:r>
        <w:rPr>
          <w:rFonts w:cs="Times New Roman" w:asciiTheme="majorEastAsia" w:hAnsiTheme="majorEastAsia" w:eastAsiaTheme="majorEastAsia"/>
          <w:sz w:val="28"/>
          <w:szCs w:val="28"/>
        </w:rPr>
        <w:t>下机制的条件与路径，包括国家主管机构的指定、</w:t>
      </w:r>
      <w:r>
        <w:rPr>
          <w:rFonts w:hint="eastAsia" w:cs="Times New Roman" w:asciiTheme="majorEastAsia" w:hAnsiTheme="majorEastAsia" w:eastAsiaTheme="majorEastAsia"/>
          <w:sz w:val="28"/>
          <w:szCs w:val="28"/>
        </w:rPr>
        <w:t>项目设计文件的提交与审定、接受联合国监督机构的监管等</w:t>
      </w:r>
      <w:r>
        <w:rPr>
          <w:rFonts w:cs="Times New Roman" w:asciiTheme="majorEastAsia" w:hAnsiTheme="majorEastAsia" w:eastAsiaTheme="majorEastAsia"/>
          <w:sz w:val="28"/>
          <w:szCs w:val="28"/>
        </w:rPr>
        <w:t>；</w:t>
      </w:r>
    </w:p>
    <w:p w14:paraId="7E038B26">
      <w:pPr>
        <w:widowControl/>
        <w:ind w:firstLine="560" w:firstLineChars="200"/>
        <w:jc w:val="lef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综合评估</w:t>
      </w:r>
      <w:r>
        <w:rPr>
          <w:rFonts w:cs="Times New Roman" w:asciiTheme="majorEastAsia" w:hAnsiTheme="majorEastAsia" w:eastAsiaTheme="majorEastAsia"/>
          <w:sz w:val="28"/>
          <w:szCs w:val="28"/>
        </w:rPr>
        <w:t>中国参与《巴黎协定》第6条的</w:t>
      </w:r>
      <w:r>
        <w:rPr>
          <w:rFonts w:hint="eastAsia" w:cs="Times New Roman" w:asciiTheme="majorEastAsia" w:hAnsiTheme="majorEastAsia" w:eastAsiaTheme="majorEastAsia"/>
          <w:sz w:val="28"/>
          <w:szCs w:val="28"/>
        </w:rPr>
        <w:t>战略选择与参与门槛，并提出</w:t>
      </w:r>
      <w:r>
        <w:rPr>
          <w:rFonts w:cs="Times New Roman" w:asciiTheme="majorEastAsia" w:hAnsiTheme="majorEastAsia" w:eastAsiaTheme="majorEastAsia"/>
          <w:sz w:val="28"/>
          <w:szCs w:val="28"/>
        </w:rPr>
        <w:t>总体战略、分阶段参与路径及配套政策建议。</w:t>
      </w:r>
    </w:p>
    <w:p w14:paraId="3231A955">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b</w:t>
      </w:r>
      <w:r>
        <w:rPr>
          <w:rFonts w:cs="Times New Roman" w:asciiTheme="majorEastAsia" w:hAnsiTheme="majorEastAsia" w:eastAsiaTheme="majorEastAsia"/>
          <w:sz w:val="28"/>
          <w:szCs w:val="28"/>
        </w:rPr>
        <w:t>. CCER参与CORSIA的</w:t>
      </w:r>
      <w:r>
        <w:rPr>
          <w:rFonts w:hint="eastAsia" w:cs="Times New Roman" w:asciiTheme="majorEastAsia" w:hAnsiTheme="majorEastAsia" w:eastAsiaTheme="majorEastAsia"/>
          <w:sz w:val="28"/>
          <w:szCs w:val="28"/>
        </w:rPr>
        <w:t>战略</w:t>
      </w:r>
      <w:r>
        <w:rPr>
          <w:rFonts w:cs="Times New Roman" w:asciiTheme="majorEastAsia" w:hAnsiTheme="majorEastAsia" w:eastAsiaTheme="majorEastAsia"/>
          <w:sz w:val="28"/>
          <w:szCs w:val="28"/>
        </w:rPr>
        <w:t>评估</w:t>
      </w:r>
    </w:p>
    <w:p w14:paraId="79D56385">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梳理CORSIA的规则框架、阶段实施安排及对中国</w:t>
      </w:r>
      <w:r>
        <w:rPr>
          <w:rFonts w:hint="eastAsia" w:cs="Times New Roman" w:asciiTheme="majorEastAsia" w:hAnsiTheme="majorEastAsia" w:eastAsiaTheme="majorEastAsia"/>
          <w:sz w:val="28"/>
          <w:szCs w:val="28"/>
        </w:rPr>
        <w:t>民航行业</w:t>
      </w:r>
      <w:r>
        <w:rPr>
          <w:rFonts w:cs="Times New Roman" w:asciiTheme="majorEastAsia" w:hAnsiTheme="majorEastAsia" w:eastAsiaTheme="majorEastAsia"/>
          <w:sz w:val="28"/>
          <w:szCs w:val="28"/>
        </w:rPr>
        <w:t>的影响；</w:t>
      </w:r>
      <w:r>
        <w:rPr>
          <w:rFonts w:hint="eastAsia" w:cs="Times New Roman" w:asciiTheme="majorEastAsia" w:hAnsiTheme="majorEastAsia" w:eastAsiaTheme="majorEastAsia"/>
          <w:sz w:val="28"/>
          <w:szCs w:val="28"/>
        </w:rPr>
        <w:t>评估CCER作为CORSIA合格排放单元的适用性；</w:t>
      </w:r>
      <w:r>
        <w:rPr>
          <w:rFonts w:cs="Times New Roman" w:asciiTheme="majorEastAsia" w:hAnsiTheme="majorEastAsia" w:eastAsiaTheme="majorEastAsia"/>
          <w:sz w:val="28"/>
          <w:szCs w:val="28"/>
        </w:rPr>
        <w:t>提出CCER参与CORSIA的</w:t>
      </w:r>
      <w:r>
        <w:rPr>
          <w:rFonts w:hint="eastAsia" w:cs="Times New Roman" w:asciiTheme="majorEastAsia" w:hAnsiTheme="majorEastAsia" w:eastAsiaTheme="majorEastAsia"/>
          <w:sz w:val="28"/>
          <w:szCs w:val="28"/>
        </w:rPr>
        <w:t>战略</w:t>
      </w:r>
      <w:r>
        <w:rPr>
          <w:rFonts w:cs="Times New Roman" w:asciiTheme="majorEastAsia" w:hAnsiTheme="majorEastAsia" w:eastAsiaTheme="majorEastAsia"/>
          <w:sz w:val="28"/>
          <w:szCs w:val="28"/>
        </w:rPr>
        <w:t>路径、分阶段参与策略及配套</w:t>
      </w:r>
      <w:r>
        <w:rPr>
          <w:rFonts w:hint="eastAsia" w:cs="Times New Roman" w:asciiTheme="majorEastAsia" w:hAnsiTheme="majorEastAsia" w:eastAsiaTheme="majorEastAsia"/>
          <w:sz w:val="28"/>
          <w:szCs w:val="28"/>
        </w:rPr>
        <w:t>政策</w:t>
      </w:r>
      <w:r>
        <w:rPr>
          <w:rFonts w:cs="Times New Roman" w:asciiTheme="majorEastAsia" w:hAnsiTheme="majorEastAsia" w:eastAsiaTheme="majorEastAsia"/>
          <w:sz w:val="28"/>
          <w:szCs w:val="28"/>
        </w:rPr>
        <w:t>建议。</w:t>
      </w:r>
    </w:p>
    <w:p w14:paraId="7BB41E60">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c</w:t>
      </w:r>
      <w:r>
        <w:rPr>
          <w:rFonts w:cs="Times New Roman" w:asciiTheme="majorEastAsia" w:hAnsiTheme="majorEastAsia" w:eastAsiaTheme="majorEastAsia"/>
          <w:sz w:val="28"/>
          <w:szCs w:val="28"/>
        </w:rPr>
        <w:t>. 参与其他结果导向型气候融资机制</w:t>
      </w:r>
      <w:r>
        <w:rPr>
          <w:rFonts w:hint="eastAsia" w:cs="Times New Roman" w:asciiTheme="majorEastAsia" w:hAnsiTheme="majorEastAsia" w:eastAsiaTheme="majorEastAsia"/>
          <w:sz w:val="28"/>
          <w:szCs w:val="28"/>
        </w:rPr>
        <w:t>的战略</w:t>
      </w:r>
      <w:r>
        <w:rPr>
          <w:rFonts w:cs="Times New Roman" w:asciiTheme="majorEastAsia" w:hAnsiTheme="majorEastAsia" w:eastAsiaTheme="majorEastAsia"/>
          <w:sz w:val="28"/>
          <w:szCs w:val="28"/>
        </w:rPr>
        <w:t>评估</w:t>
      </w:r>
    </w:p>
    <w:p w14:paraId="31E5114E">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以典型案例说明其他</w:t>
      </w:r>
      <w:r>
        <w:rPr>
          <w:rFonts w:cs="Times New Roman" w:asciiTheme="majorEastAsia" w:hAnsiTheme="majorEastAsia" w:eastAsiaTheme="majorEastAsia"/>
          <w:sz w:val="28"/>
          <w:szCs w:val="28"/>
        </w:rPr>
        <w:t>结果导向型气候融资机制</w:t>
      </w:r>
      <w:r>
        <w:rPr>
          <w:rFonts w:hint="eastAsia" w:cs="Times New Roman" w:asciiTheme="majorEastAsia" w:hAnsiTheme="majorEastAsia" w:eastAsiaTheme="majorEastAsia"/>
          <w:sz w:val="28"/>
          <w:szCs w:val="28"/>
        </w:rPr>
        <w:t>对</w:t>
      </w:r>
      <w:r>
        <w:rPr>
          <w:rFonts w:cs="Times New Roman" w:asciiTheme="majorEastAsia" w:hAnsiTheme="majorEastAsia" w:eastAsiaTheme="majorEastAsia"/>
          <w:sz w:val="28"/>
          <w:szCs w:val="28"/>
        </w:rPr>
        <w:t>碳信用</w:t>
      </w:r>
      <w:r>
        <w:rPr>
          <w:rFonts w:hint="eastAsia" w:cs="Times New Roman" w:asciiTheme="majorEastAsia" w:hAnsiTheme="majorEastAsia" w:eastAsiaTheme="majorEastAsia"/>
          <w:sz w:val="28"/>
          <w:szCs w:val="28"/>
        </w:rPr>
        <w:t>的需求和标准</w:t>
      </w:r>
      <w:r>
        <w:rPr>
          <w:rFonts w:cs="Times New Roman" w:asciiTheme="majorEastAsia" w:hAnsiTheme="majorEastAsia" w:eastAsiaTheme="majorEastAsia"/>
          <w:sz w:val="28"/>
          <w:szCs w:val="28"/>
        </w:rPr>
        <w:t>；评估中国作为碳信用卖方参与上述机制的</w:t>
      </w:r>
      <w:r>
        <w:rPr>
          <w:rFonts w:hint="eastAsia" w:cs="Times New Roman" w:asciiTheme="majorEastAsia" w:hAnsiTheme="majorEastAsia" w:eastAsiaTheme="majorEastAsia"/>
          <w:sz w:val="28"/>
          <w:szCs w:val="28"/>
        </w:rPr>
        <w:t>战略价值与发展空间；</w:t>
      </w:r>
      <w:r>
        <w:rPr>
          <w:rFonts w:cs="Times New Roman" w:asciiTheme="majorEastAsia" w:hAnsiTheme="majorEastAsia" w:eastAsiaTheme="majorEastAsia"/>
          <w:sz w:val="28"/>
          <w:szCs w:val="28"/>
        </w:rPr>
        <w:t>识别参与上述机制对国内碳定价</w:t>
      </w:r>
      <w:r>
        <w:rPr>
          <w:rFonts w:hint="eastAsia" w:cs="Times New Roman" w:asciiTheme="majorEastAsia" w:hAnsiTheme="majorEastAsia" w:eastAsiaTheme="majorEastAsia"/>
          <w:sz w:val="28"/>
          <w:szCs w:val="28"/>
        </w:rPr>
        <w:t>及碳市场发展</w:t>
      </w:r>
      <w:r>
        <w:rPr>
          <w:rFonts w:cs="Times New Roman" w:asciiTheme="majorEastAsia" w:hAnsiTheme="majorEastAsia" w:eastAsiaTheme="majorEastAsia"/>
          <w:sz w:val="28"/>
          <w:szCs w:val="28"/>
        </w:rPr>
        <w:t>的潜在影响</w:t>
      </w:r>
      <w:r>
        <w:rPr>
          <w:rFonts w:hint="eastAsia" w:cs="Times New Roman" w:asciiTheme="majorEastAsia" w:hAnsiTheme="majorEastAsia" w:eastAsiaTheme="majorEastAsia"/>
          <w:sz w:val="28"/>
          <w:szCs w:val="28"/>
        </w:rPr>
        <w:t>，并</w:t>
      </w:r>
      <w:r>
        <w:rPr>
          <w:rFonts w:cs="Times New Roman" w:asciiTheme="majorEastAsia" w:hAnsiTheme="majorEastAsia" w:eastAsiaTheme="majorEastAsia"/>
          <w:sz w:val="28"/>
          <w:szCs w:val="28"/>
        </w:rPr>
        <w:t>提出引导政策</w:t>
      </w:r>
      <w:r>
        <w:rPr>
          <w:rFonts w:hint="eastAsia" w:cs="Times New Roman" w:asciiTheme="majorEastAsia" w:hAnsiTheme="majorEastAsia" w:eastAsiaTheme="majorEastAsia"/>
          <w:sz w:val="28"/>
          <w:szCs w:val="28"/>
        </w:rPr>
        <w:t>建议</w:t>
      </w:r>
      <w:r>
        <w:rPr>
          <w:rFonts w:cs="Times New Roman" w:asciiTheme="majorEastAsia" w:hAnsiTheme="majorEastAsia" w:eastAsiaTheme="majorEastAsia"/>
          <w:sz w:val="28"/>
          <w:szCs w:val="28"/>
        </w:rPr>
        <w:t>。</w:t>
      </w:r>
    </w:p>
    <w:p w14:paraId="1C42553B">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3.2.</w:t>
      </w:r>
      <w:r>
        <w:rPr>
          <w:rFonts w:hint="eastAsia" w:cs="Times New Roman" w:asciiTheme="majorEastAsia" w:hAnsiTheme="majorEastAsia" w:eastAsiaTheme="majorEastAsia"/>
          <w:sz w:val="28"/>
          <w:szCs w:val="28"/>
        </w:rPr>
        <w:t>2</w:t>
      </w:r>
      <w:r>
        <w:rPr>
          <w:rFonts w:cs="Times New Roman" w:asciiTheme="majorEastAsia" w:hAnsiTheme="majorEastAsia" w:eastAsiaTheme="majorEastAsia"/>
          <w:sz w:val="28"/>
          <w:szCs w:val="28"/>
        </w:rPr>
        <w:t xml:space="preserve"> </w:t>
      </w:r>
      <w:r>
        <w:rPr>
          <w:rFonts w:hint="eastAsia" w:cs="Times New Roman" w:asciiTheme="majorEastAsia" w:hAnsiTheme="majorEastAsia" w:eastAsiaTheme="majorEastAsia"/>
          <w:sz w:val="28"/>
          <w:szCs w:val="28"/>
        </w:rPr>
        <w:t>国内碳定价工具与国际碳市场链接的技术分析</w:t>
      </w:r>
    </w:p>
    <w:p w14:paraId="574C5B8C">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hint="eastAsia" w:cs="Times New Roman" w:asciiTheme="majorEastAsia" w:hAnsiTheme="majorEastAsia" w:eastAsiaTheme="majorEastAsia"/>
          <w:sz w:val="28"/>
          <w:szCs w:val="28"/>
          <w:lang w:bidi="ar"/>
        </w:rPr>
        <w:t>本任务聚焦</w:t>
      </w:r>
      <w:r>
        <w:rPr>
          <w:rFonts w:cs="Times New Roman" w:asciiTheme="majorEastAsia" w:hAnsiTheme="majorEastAsia" w:eastAsiaTheme="majorEastAsia"/>
          <w:sz w:val="28"/>
          <w:szCs w:val="28"/>
          <w:lang w:bidi="ar"/>
        </w:rPr>
        <w:t>CCER碳信用跨境交易的技术路径</w:t>
      </w:r>
      <w:r>
        <w:rPr>
          <w:rFonts w:hint="eastAsia" w:cs="Times New Roman" w:asciiTheme="majorEastAsia" w:hAnsiTheme="majorEastAsia" w:eastAsiaTheme="majorEastAsia"/>
          <w:sz w:val="28"/>
          <w:szCs w:val="28"/>
          <w:lang w:bidi="ar"/>
        </w:rPr>
        <w:t>，以及CCER参与CORSIA的技术性分析。内容包括但不限于：</w:t>
      </w:r>
    </w:p>
    <w:p w14:paraId="37CC7773">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hint="eastAsia" w:cs="Times New Roman" w:asciiTheme="majorEastAsia" w:hAnsiTheme="majorEastAsia" w:eastAsiaTheme="majorEastAsia"/>
          <w:sz w:val="28"/>
          <w:szCs w:val="28"/>
          <w:lang w:bidi="ar"/>
        </w:rPr>
        <w:t>a</w:t>
      </w:r>
      <w:r>
        <w:rPr>
          <w:rFonts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lang w:bidi="ar"/>
        </w:rPr>
        <w:t>CCER登记簿与</w:t>
      </w:r>
      <w:r>
        <w:rPr>
          <w:rFonts w:hint="eastAsia" w:cs="Times New Roman" w:asciiTheme="majorEastAsia" w:hAnsiTheme="majorEastAsia" w:eastAsiaTheme="majorEastAsia"/>
          <w:sz w:val="28"/>
          <w:szCs w:val="28"/>
          <w:lang w:bidi="ar"/>
        </w:rPr>
        <w:t>国际登记簿系统互联互通的技术评估：</w:t>
      </w:r>
      <w:r>
        <w:rPr>
          <w:rFonts w:cs="Times New Roman" w:asciiTheme="majorEastAsia" w:hAnsiTheme="majorEastAsia" w:eastAsiaTheme="majorEastAsia"/>
          <w:sz w:val="28"/>
          <w:szCs w:val="28"/>
          <w:lang w:bidi="ar"/>
        </w:rPr>
        <w:t>梳理《巴黎协定》第6条框架下登记簿系统的技术要求，包括联合国气候变化框架公约秘书处设立的集中核算和报告平台、第6条数据库</w:t>
      </w:r>
      <w:r>
        <w:rPr>
          <w:rFonts w:hint="eastAsia" w:cs="Times New Roman" w:asciiTheme="majorEastAsia" w:hAnsiTheme="majorEastAsia" w:eastAsiaTheme="majorEastAsia"/>
          <w:sz w:val="28"/>
          <w:szCs w:val="28"/>
          <w:lang w:bidi="ar"/>
        </w:rPr>
        <w:t>以及为无登记簿国家提供的</w:t>
      </w:r>
      <w:r>
        <w:rPr>
          <w:rFonts w:cs="Times New Roman" w:asciiTheme="majorEastAsia" w:hAnsiTheme="majorEastAsia" w:eastAsiaTheme="majorEastAsia"/>
          <w:sz w:val="28"/>
          <w:szCs w:val="28"/>
          <w:lang w:bidi="ar"/>
        </w:rPr>
        <w:t>国际登记簿；评估CCER登记簿的技术架构与国际</w:t>
      </w:r>
      <w:r>
        <w:rPr>
          <w:rFonts w:hint="eastAsia" w:cs="Times New Roman" w:asciiTheme="majorEastAsia" w:hAnsiTheme="majorEastAsia" w:eastAsiaTheme="majorEastAsia"/>
          <w:sz w:val="28"/>
          <w:szCs w:val="28"/>
          <w:lang w:bidi="ar"/>
        </w:rPr>
        <w:t>通行技术规范</w:t>
      </w:r>
      <w:r>
        <w:rPr>
          <w:rFonts w:cs="Times New Roman" w:asciiTheme="majorEastAsia" w:hAnsiTheme="majorEastAsia" w:eastAsiaTheme="majorEastAsia"/>
          <w:sz w:val="28"/>
          <w:szCs w:val="28"/>
          <w:lang w:bidi="ar"/>
        </w:rPr>
        <w:t>的</w:t>
      </w:r>
      <w:r>
        <w:rPr>
          <w:rFonts w:hint="eastAsia" w:cs="Times New Roman" w:asciiTheme="majorEastAsia" w:hAnsiTheme="majorEastAsia" w:eastAsiaTheme="majorEastAsia"/>
          <w:sz w:val="28"/>
          <w:szCs w:val="28"/>
          <w:lang w:bidi="ar"/>
        </w:rPr>
        <w:t>衔接能力</w:t>
      </w:r>
      <w:r>
        <w:rPr>
          <w:rFonts w:cs="Times New Roman" w:asciiTheme="majorEastAsia" w:hAnsiTheme="majorEastAsia" w:eastAsiaTheme="majorEastAsia"/>
          <w:sz w:val="28"/>
          <w:szCs w:val="28"/>
          <w:lang w:bidi="ar"/>
        </w:rPr>
        <w:t>，识别实现互联互通所需的技术改造需求；研究ITMOs的唯一标识符设置、跨登记簿转移追踪、双重核算预防等技术实现路径；分析登记簿互联互通对数据安全、信息披露、核查审计等方面的影响；借鉴其他国家和地区登记簿系统建设经验，提出CCER登记簿与国际对接的技术路线图及分阶段实施建议。</w:t>
      </w:r>
    </w:p>
    <w:p w14:paraId="66ED258C">
      <w:pPr>
        <w:widowControl/>
        <w:spacing w:before="156" w:beforeLines="50" w:after="156" w:afterLines="50"/>
        <w:ind w:firstLine="560" w:firstLineChars="200"/>
        <w:jc w:val="left"/>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b</w:t>
      </w:r>
      <w:r>
        <w:rPr>
          <w:rFonts w:cs="Times New Roman" w:asciiTheme="majorEastAsia" w:hAnsiTheme="majorEastAsia" w:eastAsiaTheme="majorEastAsia"/>
          <w:sz w:val="28"/>
          <w:szCs w:val="28"/>
        </w:rPr>
        <w:t xml:space="preserve">. </w:t>
      </w:r>
      <w:r>
        <w:rPr>
          <w:rFonts w:hint="eastAsia" w:cs="Times New Roman" w:asciiTheme="majorEastAsia" w:hAnsiTheme="majorEastAsia" w:eastAsiaTheme="majorEastAsia"/>
          <w:sz w:val="28"/>
          <w:szCs w:val="28"/>
        </w:rPr>
        <w:t>CCER参与CORSIA的技术分析</w:t>
      </w:r>
    </w:p>
    <w:p w14:paraId="08F8C96A">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hint="eastAsia" w:cs="Times New Roman" w:asciiTheme="majorEastAsia" w:hAnsiTheme="majorEastAsia" w:eastAsiaTheme="majorEastAsia"/>
          <w:sz w:val="28"/>
          <w:szCs w:val="28"/>
          <w:lang w:bidi="ar"/>
        </w:rPr>
        <w:t>梳理CORSIA合格排放单元的技术标准；分析CORSIA对碳信用项目的额外性要求、计入期规则、避免双重计算等标准与CCER现行规则的异同；分析CCER项目类型与CORSIA合格碳信用类别的匹配程度，识别潜在适用的方法学领域；研究CCER参与CORSIA所需的认证程序及合格标准。</w:t>
      </w:r>
    </w:p>
    <w:p w14:paraId="113B3946">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cs="Times New Roman" w:asciiTheme="majorEastAsia" w:hAnsiTheme="majorEastAsia" w:eastAsiaTheme="majorEastAsia"/>
          <w:sz w:val="28"/>
          <w:szCs w:val="28"/>
          <w:lang w:bidi="ar"/>
        </w:rPr>
        <w:t>c. 分析CCER碳信用的跨境流动（包括流入和流出）对中国ETS</w:t>
      </w:r>
      <w:r>
        <w:rPr>
          <w:rFonts w:hint="eastAsia" w:cs="Times New Roman" w:asciiTheme="majorEastAsia" w:hAnsiTheme="majorEastAsia" w:eastAsiaTheme="majorEastAsia"/>
          <w:sz w:val="28"/>
          <w:szCs w:val="28"/>
          <w:lang w:bidi="ar"/>
        </w:rPr>
        <w:t>碳价形成、市场流动性及配额供需平衡的影响；评估跨境碳信用流动对国家排放清单及排放核算的影响，特别是与实现</w:t>
      </w:r>
      <w:r>
        <w:rPr>
          <w:rFonts w:cs="Times New Roman" w:asciiTheme="majorEastAsia" w:hAnsiTheme="majorEastAsia" w:eastAsiaTheme="majorEastAsia"/>
          <w:sz w:val="28"/>
          <w:szCs w:val="28"/>
          <w:lang w:bidi="ar"/>
        </w:rPr>
        <w:t>NDC目标及碳达峰碳中和目标相关的核算问题。</w:t>
      </w:r>
      <w:r>
        <w:rPr>
          <w:rFonts w:ascii="Times New Roman" w:hAnsi="Times New Roman" w:cs="Times New Roman" w:eastAsiaTheme="majorEastAsia"/>
          <w:sz w:val="24"/>
        </w:rPr>
        <w:t>.</w:t>
      </w:r>
    </w:p>
    <w:p w14:paraId="0682425C">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lang w:bidi="ar"/>
        </w:rPr>
        <w:t>3.2.3 中国利益相关方参与供应链脱碳倡议的评估</w:t>
      </w:r>
    </w:p>
    <w:p w14:paraId="77054CC0">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cs="Times New Roman" w:asciiTheme="majorEastAsia" w:hAnsiTheme="majorEastAsia" w:eastAsiaTheme="majorEastAsia"/>
          <w:sz w:val="28"/>
          <w:szCs w:val="28"/>
          <w:lang w:bidi="ar"/>
        </w:rPr>
        <w:t>本任务聚焦中国</w:t>
      </w:r>
      <w:r>
        <w:rPr>
          <w:rFonts w:hint="eastAsia" w:cs="Times New Roman" w:asciiTheme="majorEastAsia" w:hAnsiTheme="majorEastAsia" w:eastAsiaTheme="majorEastAsia"/>
          <w:sz w:val="28"/>
          <w:szCs w:val="28"/>
          <w:lang w:bidi="ar"/>
        </w:rPr>
        <w:t>利益相关方作为碳信用卖方，将国内产生的CCER碳信用用于</w:t>
      </w:r>
      <w:r>
        <w:rPr>
          <w:rFonts w:cs="Times New Roman" w:asciiTheme="majorEastAsia" w:hAnsiTheme="majorEastAsia" w:eastAsiaTheme="majorEastAsia"/>
          <w:sz w:val="28"/>
          <w:szCs w:val="28"/>
          <w:lang w:bidi="ar"/>
        </w:rPr>
        <w:t>参与跨国公司供应链脱碳倡议的评估，内容包括但不限于：</w:t>
      </w:r>
    </w:p>
    <w:p w14:paraId="78EF9C6B">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hint="eastAsia" w:cs="Times New Roman" w:asciiTheme="majorEastAsia" w:hAnsiTheme="majorEastAsia" w:eastAsiaTheme="majorEastAsia"/>
          <w:sz w:val="28"/>
          <w:szCs w:val="28"/>
          <w:lang w:bidi="ar"/>
        </w:rPr>
        <w:t xml:space="preserve">a. </w:t>
      </w:r>
      <w:r>
        <w:rPr>
          <w:rFonts w:cs="Times New Roman" w:asciiTheme="majorEastAsia" w:hAnsiTheme="majorEastAsia" w:eastAsiaTheme="majorEastAsia"/>
          <w:sz w:val="28"/>
          <w:szCs w:val="28"/>
          <w:lang w:bidi="ar"/>
        </w:rPr>
        <w:t>分析跨国公司供应链脱碳倡议对碳信用的需求特征及采购标准；</w:t>
      </w:r>
    </w:p>
    <w:p w14:paraId="364EBBB1">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hint="eastAsia" w:cs="Times New Roman" w:asciiTheme="majorEastAsia" w:hAnsiTheme="majorEastAsia" w:eastAsiaTheme="majorEastAsia"/>
          <w:sz w:val="28"/>
          <w:szCs w:val="28"/>
        </w:rPr>
        <w:t>b</w:t>
      </w:r>
      <w:r>
        <w:rPr>
          <w:rFonts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lang w:bidi="ar"/>
        </w:rPr>
        <w:t>评估中国</w:t>
      </w:r>
      <w:r>
        <w:rPr>
          <w:rFonts w:hint="eastAsia" w:cs="Times New Roman" w:asciiTheme="majorEastAsia" w:hAnsiTheme="majorEastAsia" w:eastAsiaTheme="majorEastAsia"/>
          <w:sz w:val="28"/>
          <w:szCs w:val="28"/>
          <w:lang w:bidi="ar"/>
        </w:rPr>
        <w:t>利益相关方</w:t>
      </w:r>
      <w:r>
        <w:rPr>
          <w:rFonts w:cs="Times New Roman" w:asciiTheme="majorEastAsia" w:hAnsiTheme="majorEastAsia" w:eastAsiaTheme="majorEastAsia"/>
          <w:sz w:val="28"/>
          <w:szCs w:val="28"/>
          <w:lang w:bidi="ar"/>
        </w:rPr>
        <w:t>作为碳信用卖方参与供应链脱碳倡议的战略价值与发展空间；</w:t>
      </w:r>
    </w:p>
    <w:p w14:paraId="1BEF83F0">
      <w:pPr>
        <w:widowControl/>
        <w:spacing w:before="156" w:beforeLines="50" w:after="156" w:afterLines="50"/>
        <w:ind w:firstLine="560" w:firstLineChars="200"/>
        <w:jc w:val="left"/>
        <w:rPr>
          <w:rFonts w:cs="Times New Roman" w:asciiTheme="majorEastAsia" w:hAnsiTheme="majorEastAsia" w:eastAsiaTheme="majorEastAsia"/>
          <w:sz w:val="28"/>
          <w:szCs w:val="28"/>
          <w:lang w:bidi="ar"/>
        </w:rPr>
      </w:pPr>
      <w:r>
        <w:rPr>
          <w:rFonts w:hint="eastAsia" w:cs="Times New Roman" w:asciiTheme="majorEastAsia" w:hAnsiTheme="majorEastAsia" w:eastAsiaTheme="majorEastAsia"/>
          <w:sz w:val="28"/>
          <w:szCs w:val="28"/>
        </w:rPr>
        <w:t>c</w:t>
      </w:r>
      <w:r>
        <w:rPr>
          <w:rFonts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lang w:bidi="ar"/>
        </w:rPr>
        <w:t>识别参与供应链脱碳倡议对国内碳定价及碳市场发展的潜在影响，并提出引导政策建议。</w:t>
      </w:r>
    </w:p>
    <w:p w14:paraId="65ADDC28">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3.2.4 海外减排项目参与CCER的制度框架研究</w:t>
      </w:r>
    </w:p>
    <w:p w14:paraId="3F8821FC">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本任务聚焦中国企业在海外投资建设的减排项目所产生的减排量如何进入国内CCER市场开展制度框架研究，内容包括但不限于：</w:t>
      </w:r>
    </w:p>
    <w:p w14:paraId="6FD37B56">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 xml:space="preserve">a. </w:t>
      </w:r>
      <w:r>
        <w:rPr>
          <w:rFonts w:hint="eastAsia" w:cs="Times New Roman" w:asciiTheme="majorEastAsia" w:hAnsiTheme="majorEastAsia" w:eastAsiaTheme="majorEastAsia"/>
          <w:sz w:val="28"/>
          <w:szCs w:val="28"/>
        </w:rPr>
        <w:t>梳理海外减排项目的主要类型及其与CCER现行规则的衔接问题，包括方法学适用性、额外性论证、减排量计算、审定核查跨境监管、双重计算防范等方面，分析中国碳信用审定核查体系与海外项目的衔接能力与差距；</w:t>
      </w:r>
    </w:p>
    <w:p w14:paraId="1FAEDD87">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b</w:t>
      </w:r>
      <w:r>
        <w:rPr>
          <w:rFonts w:cs="Times New Roman" w:asciiTheme="majorEastAsia" w:hAnsiTheme="majorEastAsia" w:eastAsiaTheme="majorEastAsia"/>
          <w:sz w:val="28"/>
          <w:szCs w:val="28"/>
        </w:rPr>
        <w:t xml:space="preserve">. </w:t>
      </w:r>
      <w:r>
        <w:rPr>
          <w:rFonts w:hint="eastAsia" w:cs="Times New Roman" w:asciiTheme="majorEastAsia" w:hAnsiTheme="majorEastAsia" w:eastAsiaTheme="majorEastAsia"/>
          <w:sz w:val="28"/>
          <w:szCs w:val="28"/>
        </w:rPr>
        <w:t>研究海外减排项目参与CCER所需的登记管理功能扩展、法律制度衔接及国际合作安排，提出分阶段实施路线图与试点建议。</w:t>
      </w:r>
    </w:p>
    <w:p w14:paraId="5E365E91">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3.2.5 跨境碳交易机制框架政策建议</w:t>
      </w:r>
    </w:p>
    <w:p w14:paraId="66D6C71A">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基于3.2.1至3.2.4的研究成果，进行综合集成与政策转化</w:t>
      </w:r>
      <w:r>
        <w:rPr>
          <w:rFonts w:cs="Times New Roman" w:asciiTheme="majorEastAsia" w:hAnsiTheme="majorEastAsia" w:eastAsiaTheme="majorEastAsia"/>
          <w:sz w:val="28"/>
          <w:szCs w:val="28"/>
        </w:rPr>
        <w:t>，内容包括但不限于：</w:t>
      </w:r>
    </w:p>
    <w:p w14:paraId="445BA52F">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a. 《跨境碳交易机制框架政策建议报告》，系统整合前述各项战略与制度评估、技术分析等研究的结论，提出统一的政策建议框架。</w:t>
      </w:r>
    </w:p>
    <w:p w14:paraId="65A1D4AF">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b. 《跨境碳交易机制框架》（具体名称以发布为准），作为提交生态环境部发布的建议文本，按照部门规范性文件的标准框架，涵盖总则、管理体制、全流程管理规则（授权、登记、转移、注销）、监管与法律责任、国内法规衔接及分阶段实施路线图等内容</w:t>
      </w:r>
      <w:r>
        <w:rPr>
          <w:rFonts w:cs="Times New Roman" w:asciiTheme="majorEastAsia" w:hAnsiTheme="majorEastAsia" w:eastAsiaTheme="majorEastAsia"/>
          <w:sz w:val="28"/>
          <w:szCs w:val="28"/>
        </w:rPr>
        <w:t>。本项活动直接对应项目文件中的项目开发目标（PDO）指标4.3，即推动建立跨境碳交易机制框架</w:t>
      </w:r>
      <w:r>
        <w:rPr>
          <w:rFonts w:hint="eastAsia" w:cs="Times New Roman" w:asciiTheme="majorEastAsia" w:hAnsiTheme="majorEastAsia" w:eastAsiaTheme="majorEastAsia"/>
          <w:sz w:val="28"/>
          <w:szCs w:val="28"/>
        </w:rPr>
        <w:t>，并由生态环境部发布。</w:t>
      </w:r>
    </w:p>
    <w:p w14:paraId="19503F7A">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预计交付成果</w:t>
      </w:r>
    </w:p>
    <w:p w14:paraId="369FF700">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本分包合同的交付成果包括：</w:t>
      </w:r>
    </w:p>
    <w:p w14:paraId="31D38003">
      <w:pPr>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4.1 《</w:t>
      </w:r>
      <w:r>
        <w:rPr>
          <w:rFonts w:hint="eastAsia" w:cs="Times New Roman" w:asciiTheme="majorEastAsia" w:hAnsiTheme="majorEastAsia" w:eastAsiaTheme="majorEastAsia"/>
          <w:sz w:val="28"/>
          <w:szCs w:val="28"/>
        </w:rPr>
        <w:t>国内碳定价工具与国际碳交易机制链接战略与技术评估报告</w:t>
      </w:r>
      <w:r>
        <w:rPr>
          <w:rFonts w:cs="Times New Roman" w:asciiTheme="majorEastAsia" w:hAnsiTheme="majorEastAsia" w:eastAsiaTheme="majorEastAsia"/>
          <w:sz w:val="28"/>
          <w:szCs w:val="28"/>
        </w:rPr>
        <w:t>》</w:t>
      </w:r>
    </w:p>
    <w:p w14:paraId="19E2B1BC">
      <w:pPr>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4.2 《</w:t>
      </w:r>
      <w:r>
        <w:rPr>
          <w:rFonts w:hint="eastAsia" w:cs="Times New Roman" w:asciiTheme="majorEastAsia" w:hAnsiTheme="majorEastAsia" w:eastAsiaTheme="majorEastAsia"/>
          <w:sz w:val="28"/>
          <w:szCs w:val="28"/>
        </w:rPr>
        <w:t>中国参与供应链脱碳倡议评估报告</w:t>
      </w:r>
      <w:r>
        <w:rPr>
          <w:rFonts w:cs="Times New Roman" w:asciiTheme="majorEastAsia" w:hAnsiTheme="majorEastAsia" w:eastAsiaTheme="majorEastAsia"/>
          <w:sz w:val="28"/>
          <w:szCs w:val="28"/>
        </w:rPr>
        <w:t>》</w:t>
      </w:r>
    </w:p>
    <w:p w14:paraId="28C92714">
      <w:pPr>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4.3 《</w:t>
      </w:r>
      <w:r>
        <w:rPr>
          <w:rFonts w:hint="eastAsia" w:cs="Times New Roman" w:asciiTheme="majorEastAsia" w:hAnsiTheme="majorEastAsia" w:eastAsiaTheme="majorEastAsia"/>
          <w:sz w:val="28"/>
          <w:szCs w:val="28"/>
        </w:rPr>
        <w:t>海外减排项目参与CCER制度框架研究报告</w:t>
      </w:r>
      <w:r>
        <w:rPr>
          <w:rFonts w:cs="Times New Roman" w:asciiTheme="majorEastAsia" w:hAnsiTheme="majorEastAsia" w:eastAsiaTheme="majorEastAsia"/>
          <w:sz w:val="28"/>
          <w:szCs w:val="28"/>
        </w:rPr>
        <w:t>》</w:t>
      </w:r>
    </w:p>
    <w:p w14:paraId="53B6415F">
      <w:pPr>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4.4 《</w:t>
      </w:r>
      <w:r>
        <w:rPr>
          <w:rFonts w:hint="eastAsia" w:cs="Times New Roman" w:asciiTheme="majorEastAsia" w:hAnsiTheme="majorEastAsia" w:eastAsiaTheme="majorEastAsia"/>
          <w:sz w:val="28"/>
          <w:szCs w:val="28"/>
        </w:rPr>
        <w:t>跨境碳交易机制框架政策建议报告</w:t>
      </w:r>
      <w:r>
        <w:rPr>
          <w:rFonts w:cs="Times New Roman" w:asciiTheme="majorEastAsia" w:hAnsiTheme="majorEastAsia" w:eastAsiaTheme="majorEastAsia"/>
          <w:sz w:val="28"/>
          <w:szCs w:val="28"/>
        </w:rPr>
        <w:t>》</w:t>
      </w:r>
    </w:p>
    <w:p w14:paraId="67E7AA34">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4.5 《跨境碳交易机制框架》,</w:t>
      </w:r>
      <w:r>
        <w:rPr>
          <w:rFonts w:cs="Times New Roman" w:asciiTheme="majorEastAsia" w:hAnsiTheme="majorEastAsia" w:eastAsiaTheme="majorEastAsia"/>
          <w:sz w:val="28"/>
          <w:szCs w:val="28"/>
        </w:rPr>
        <w:t>本成果</w:t>
      </w:r>
      <w:r>
        <w:rPr>
          <w:rFonts w:hint="eastAsia" w:cs="Times New Roman" w:asciiTheme="majorEastAsia" w:hAnsiTheme="majorEastAsia" w:eastAsiaTheme="majorEastAsia"/>
          <w:sz w:val="28"/>
          <w:szCs w:val="28"/>
        </w:rPr>
        <w:t>直接对应</w:t>
      </w:r>
      <w:r>
        <w:rPr>
          <w:rFonts w:cs="Times New Roman" w:asciiTheme="majorEastAsia" w:hAnsiTheme="majorEastAsia" w:eastAsiaTheme="majorEastAsia"/>
          <w:sz w:val="28"/>
          <w:szCs w:val="28"/>
        </w:rPr>
        <w:t>项目文件PDO指标4.3要求的内容，即推动建立跨境碳交易机制框架</w:t>
      </w:r>
      <w:r>
        <w:rPr>
          <w:rFonts w:hint="eastAsia" w:cs="Times New Roman" w:asciiTheme="majorEastAsia" w:hAnsiTheme="majorEastAsia" w:eastAsiaTheme="majorEastAsia"/>
          <w:sz w:val="28"/>
          <w:szCs w:val="28"/>
        </w:rPr>
        <w:t>，并由生态环境部发布。</w:t>
      </w:r>
    </w:p>
    <w:p w14:paraId="4D90101D">
      <w:pPr>
        <w:widowControl/>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本分包合同所有交付成果均须以中英文双语形式提交，如表述出现不一致或矛盾，以中文为准。</w:t>
      </w:r>
    </w:p>
    <w:p w14:paraId="78958C72">
      <w:pPr>
        <w:widowControl/>
        <w:spacing w:before="156" w:beforeLines="50" w:after="156" w:afterLines="50"/>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本分包合同所有交付成果应与相关利益方进行磋商，并形成磋商纪要，至少包括：人员、内容及照片。</w:t>
      </w:r>
    </w:p>
    <w:p w14:paraId="1C8E4762">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本分包合同的交付成果将为实现以下项目发展目标（PDO）及中期指标作出贡献：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70"/>
        <w:gridCol w:w="5063"/>
        <w:gridCol w:w="1789"/>
      </w:tblGrid>
      <w:tr w14:paraId="05B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0" w:type="auto"/>
            <w:tcMar>
              <w:left w:w="108" w:type="dxa"/>
              <w:right w:w="108" w:type="dxa"/>
            </w:tcMar>
            <w:vAlign w:val="center"/>
          </w:tcPr>
          <w:p w14:paraId="19554994">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预期交付成果</w:t>
            </w:r>
          </w:p>
        </w:tc>
        <w:tc>
          <w:tcPr>
            <w:tcW w:w="5063" w:type="dxa"/>
            <w:tcMar>
              <w:left w:w="108" w:type="dxa"/>
              <w:right w:w="108" w:type="dxa"/>
            </w:tcMar>
            <w:vAlign w:val="center"/>
          </w:tcPr>
          <w:p w14:paraId="77F47779">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指标</w:t>
            </w:r>
          </w:p>
        </w:tc>
        <w:tc>
          <w:tcPr>
            <w:tcW w:w="1789" w:type="dxa"/>
            <w:tcMar>
              <w:left w:w="108" w:type="dxa"/>
              <w:right w:w="108" w:type="dxa"/>
            </w:tcMar>
            <w:vAlign w:val="center"/>
          </w:tcPr>
          <w:p w14:paraId="78984C72">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贡献类型</w:t>
            </w:r>
          </w:p>
        </w:tc>
      </w:tr>
      <w:tr w14:paraId="13EA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70" w:type="dxa"/>
            <w:tcMar>
              <w:left w:w="108" w:type="dxa"/>
              <w:right w:w="108" w:type="dxa"/>
            </w:tcMar>
            <w:vAlign w:val="center"/>
          </w:tcPr>
          <w:p w14:paraId="417DB986">
            <w:pPr>
              <w:rPr>
                <w:rFonts w:cs="Times New Roman" w:asciiTheme="majorEastAsia" w:hAnsiTheme="majorEastAsia" w:eastAsiaTheme="majorEastAsia"/>
                <w:sz w:val="24"/>
              </w:rPr>
            </w:pPr>
            <w:r>
              <w:rPr>
                <w:rFonts w:cs="Times New Roman" w:asciiTheme="majorEastAsia" w:hAnsiTheme="majorEastAsia" w:eastAsiaTheme="majorEastAsia"/>
                <w:sz w:val="24"/>
              </w:rPr>
              <w:t>交付成果 4.</w:t>
            </w:r>
            <w:r>
              <w:rPr>
                <w:rFonts w:hint="eastAsia" w:cs="Times New Roman" w:asciiTheme="majorEastAsia" w:hAnsiTheme="majorEastAsia" w:eastAsiaTheme="majorEastAsia"/>
                <w:sz w:val="24"/>
              </w:rPr>
              <w:t>5</w:t>
            </w:r>
          </w:p>
        </w:tc>
        <w:tc>
          <w:tcPr>
            <w:tcW w:w="5063" w:type="dxa"/>
            <w:tcMar>
              <w:left w:w="108" w:type="dxa"/>
              <w:right w:w="108" w:type="dxa"/>
            </w:tcMar>
            <w:vAlign w:val="center"/>
          </w:tcPr>
          <w:p w14:paraId="0F43180F">
            <w:pPr>
              <w:rPr>
                <w:rFonts w:cs="Times New Roman" w:asciiTheme="majorEastAsia" w:hAnsiTheme="majorEastAsia" w:eastAsiaTheme="majorEastAsia"/>
                <w:sz w:val="24"/>
              </w:rPr>
            </w:pPr>
            <w:r>
              <w:rPr>
                <w:rFonts w:cs="Times New Roman" w:asciiTheme="majorEastAsia" w:hAnsiTheme="majorEastAsia" w:eastAsiaTheme="majorEastAsia"/>
                <w:sz w:val="24"/>
              </w:rPr>
              <w:t>项目文件PDO指标4.3——建立跨境碳交易机制框架，并由生态环境部发布。</w:t>
            </w:r>
          </w:p>
        </w:tc>
        <w:tc>
          <w:tcPr>
            <w:tcW w:w="1789" w:type="dxa"/>
            <w:tcMar>
              <w:left w:w="108" w:type="dxa"/>
              <w:right w:w="108" w:type="dxa"/>
            </w:tcMar>
            <w:vAlign w:val="center"/>
          </w:tcPr>
          <w:p w14:paraId="1BFEAAC7">
            <w:pPr>
              <w:rPr>
                <w:rFonts w:cs="Times New Roman" w:asciiTheme="majorEastAsia" w:hAnsiTheme="majorEastAsia" w:eastAsiaTheme="majorEastAsia"/>
                <w:sz w:val="24"/>
              </w:rPr>
            </w:pPr>
            <w:r>
              <w:rPr>
                <w:rFonts w:cs="Times New Roman" w:asciiTheme="majorEastAsia" w:hAnsiTheme="majorEastAsia" w:eastAsiaTheme="majorEastAsia"/>
                <w:sz w:val="24"/>
              </w:rPr>
              <w:t>直接贡献</w:t>
            </w:r>
          </w:p>
        </w:tc>
      </w:tr>
    </w:tbl>
    <w:p w14:paraId="0589C916">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付款条件及进度安排</w:t>
      </w:r>
    </w:p>
    <w:p w14:paraId="11F3FC01">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本分包合同的主要任务应在1</w:t>
      </w:r>
      <w:r>
        <w:rPr>
          <w:rFonts w:hint="eastAsia" w:cs="Times New Roman" w:asciiTheme="majorEastAsia" w:hAnsiTheme="majorEastAsia" w:eastAsiaTheme="majorEastAsia"/>
          <w:sz w:val="28"/>
          <w:szCs w:val="28"/>
        </w:rPr>
        <w:t>2</w:t>
      </w:r>
      <w:r>
        <w:rPr>
          <w:rFonts w:cs="Times New Roman" w:asciiTheme="majorEastAsia" w:hAnsiTheme="majorEastAsia" w:eastAsiaTheme="majorEastAsia"/>
          <w:sz w:val="28"/>
          <w:szCs w:val="28"/>
        </w:rPr>
        <w:t>个月内完成。为确保交付成果的质量，分包合同承担单位应秉持积极的协作精神，根据PMO的要求，对交付成果进行更新、完善与优化，并提供相关技术支持。</w:t>
      </w:r>
    </w:p>
    <w:p w14:paraId="58176FE1">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本分包合同的款项将分为</w:t>
      </w:r>
      <w:r>
        <w:rPr>
          <w:rFonts w:hint="eastAsia" w:cs="Times New Roman" w:asciiTheme="majorEastAsia" w:hAnsiTheme="majorEastAsia" w:eastAsiaTheme="majorEastAsia"/>
          <w:sz w:val="28"/>
          <w:szCs w:val="28"/>
        </w:rPr>
        <w:t>3</w:t>
      </w:r>
      <w:r>
        <w:rPr>
          <w:rFonts w:cs="Times New Roman" w:asciiTheme="majorEastAsia" w:hAnsiTheme="majorEastAsia" w:eastAsiaTheme="majorEastAsia"/>
          <w:sz w:val="28"/>
          <w:szCs w:val="28"/>
        </w:rPr>
        <w:t>笔支付。承担单位在提交下表中各期付款所要求的全部文件，且文件经PMO技术评审并通过专家评审会议满意验收后，方可获得相应款项。交付成果提交及付款的具体时间建议如下：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900"/>
        <w:gridCol w:w="1330"/>
        <w:gridCol w:w="1705"/>
        <w:gridCol w:w="1705"/>
      </w:tblGrid>
      <w:tr w14:paraId="726A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162BE973">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序号</w:t>
            </w:r>
          </w:p>
        </w:tc>
        <w:tc>
          <w:tcPr>
            <w:tcW w:w="2900" w:type="dxa"/>
            <w:vAlign w:val="center"/>
          </w:tcPr>
          <w:p w14:paraId="2DA7AB08">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支付条件</w:t>
            </w:r>
          </w:p>
        </w:tc>
        <w:tc>
          <w:tcPr>
            <w:tcW w:w="1330" w:type="dxa"/>
            <w:vAlign w:val="center"/>
          </w:tcPr>
          <w:p w14:paraId="14592BF9">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预期提交时间</w:t>
            </w:r>
          </w:p>
        </w:tc>
        <w:tc>
          <w:tcPr>
            <w:tcW w:w="1705" w:type="dxa"/>
            <w:vAlign w:val="center"/>
          </w:tcPr>
          <w:p w14:paraId="3BF8AFAC">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预期启动付款程序时间</w:t>
            </w:r>
          </w:p>
        </w:tc>
        <w:tc>
          <w:tcPr>
            <w:tcW w:w="1705" w:type="dxa"/>
            <w:vAlign w:val="center"/>
          </w:tcPr>
          <w:p w14:paraId="4E782683">
            <w:pPr>
              <w:jc w:val="center"/>
              <w:rPr>
                <w:rFonts w:cs="Times New Roman" w:asciiTheme="majorEastAsia" w:hAnsiTheme="majorEastAsia" w:eastAsiaTheme="majorEastAsia"/>
                <w:b/>
                <w:sz w:val="24"/>
              </w:rPr>
            </w:pPr>
            <w:r>
              <w:rPr>
                <w:rFonts w:cs="Times New Roman" w:asciiTheme="majorEastAsia" w:hAnsiTheme="majorEastAsia" w:eastAsiaTheme="majorEastAsia"/>
                <w:b/>
                <w:sz w:val="24"/>
              </w:rPr>
              <w:t>付款比例</w:t>
            </w:r>
          </w:p>
        </w:tc>
      </w:tr>
      <w:tr w14:paraId="35F6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70FD64BC">
            <w:pPr>
              <w:rPr>
                <w:rFonts w:cs="Times New Roman" w:asciiTheme="majorEastAsia" w:hAnsiTheme="majorEastAsia" w:eastAsiaTheme="majorEastAsia"/>
                <w:sz w:val="24"/>
              </w:rPr>
            </w:pPr>
            <w:r>
              <w:rPr>
                <w:rFonts w:cs="Times New Roman" w:asciiTheme="majorEastAsia" w:hAnsiTheme="majorEastAsia" w:eastAsiaTheme="majorEastAsia"/>
                <w:sz w:val="24"/>
              </w:rPr>
              <w:t>1</w:t>
            </w:r>
          </w:p>
        </w:tc>
        <w:tc>
          <w:tcPr>
            <w:tcW w:w="2900" w:type="dxa"/>
            <w:vAlign w:val="center"/>
          </w:tcPr>
          <w:p w14:paraId="440E818C">
            <w:pPr>
              <w:rPr>
                <w:rFonts w:cs="Times New Roman" w:asciiTheme="majorEastAsia" w:hAnsiTheme="majorEastAsia" w:eastAsiaTheme="majorEastAsia"/>
                <w:sz w:val="24"/>
              </w:rPr>
            </w:pPr>
            <w:r>
              <w:rPr>
                <w:rFonts w:cs="Times New Roman" w:asciiTheme="majorEastAsia" w:hAnsiTheme="majorEastAsia" w:eastAsiaTheme="majorEastAsia"/>
                <w:sz w:val="24"/>
              </w:rPr>
              <w:t>a. 详细咨询服务实施方案（含详细研究方法、工作计划及最终报告大纲）</w:t>
            </w:r>
          </w:p>
        </w:tc>
        <w:tc>
          <w:tcPr>
            <w:tcW w:w="1330" w:type="dxa"/>
            <w:vAlign w:val="center"/>
          </w:tcPr>
          <w:p w14:paraId="7B8CBE6F">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合同签署后1个月内</w:t>
            </w:r>
          </w:p>
        </w:tc>
        <w:tc>
          <w:tcPr>
            <w:tcW w:w="1705" w:type="dxa"/>
            <w:vAlign w:val="center"/>
          </w:tcPr>
          <w:p w14:paraId="61729BB6">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合同签署后1个月内</w:t>
            </w:r>
          </w:p>
        </w:tc>
        <w:tc>
          <w:tcPr>
            <w:tcW w:w="1705" w:type="dxa"/>
            <w:vAlign w:val="center"/>
          </w:tcPr>
          <w:p w14:paraId="04CC8AD5">
            <w:pPr>
              <w:rPr>
                <w:rFonts w:cs="Times New Roman" w:asciiTheme="majorEastAsia" w:hAnsiTheme="majorEastAsia" w:eastAsiaTheme="majorEastAsia"/>
                <w:sz w:val="24"/>
              </w:rPr>
            </w:pPr>
            <w:r>
              <w:rPr>
                <w:rFonts w:cs="Times New Roman" w:asciiTheme="majorEastAsia" w:hAnsiTheme="majorEastAsia" w:eastAsiaTheme="majorEastAsia"/>
                <w:sz w:val="24"/>
              </w:rPr>
              <w:t>15%</w:t>
            </w:r>
          </w:p>
        </w:tc>
      </w:tr>
      <w:tr w14:paraId="1566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82" w:type="dxa"/>
            <w:vAlign w:val="center"/>
          </w:tcPr>
          <w:p w14:paraId="585F6B90">
            <w:pPr>
              <w:rPr>
                <w:rFonts w:cs="Times New Roman" w:asciiTheme="majorEastAsia" w:hAnsiTheme="majorEastAsia" w:eastAsiaTheme="majorEastAsia"/>
                <w:sz w:val="24"/>
              </w:rPr>
            </w:pPr>
            <w:r>
              <w:rPr>
                <w:rFonts w:cs="Times New Roman" w:asciiTheme="majorEastAsia" w:hAnsiTheme="majorEastAsia" w:eastAsiaTheme="majorEastAsia"/>
                <w:sz w:val="24"/>
              </w:rPr>
              <w:t>2</w:t>
            </w:r>
          </w:p>
        </w:tc>
        <w:tc>
          <w:tcPr>
            <w:tcW w:w="2900" w:type="dxa"/>
            <w:vAlign w:val="center"/>
          </w:tcPr>
          <w:p w14:paraId="3EB86CFC">
            <w:pPr>
              <w:rPr>
                <w:rFonts w:cs="Times New Roman" w:asciiTheme="majorEastAsia" w:hAnsiTheme="majorEastAsia" w:eastAsiaTheme="majorEastAsia"/>
                <w:sz w:val="24"/>
              </w:rPr>
            </w:pPr>
            <w:r>
              <w:rPr>
                <w:rFonts w:cs="Times New Roman" w:asciiTheme="majorEastAsia" w:hAnsiTheme="majorEastAsia" w:eastAsiaTheme="majorEastAsia"/>
                <w:sz w:val="24"/>
              </w:rPr>
              <w:t>a. 交付成果4.1</w:t>
            </w:r>
            <w:r>
              <w:rPr>
                <w:rFonts w:hint="eastAsia" w:cs="Times New Roman" w:asciiTheme="majorEastAsia" w:hAnsiTheme="majorEastAsia" w:eastAsiaTheme="majorEastAsia"/>
                <w:sz w:val="24"/>
              </w:rPr>
              <w:t>、4.4、4.5</w:t>
            </w:r>
            <w:r>
              <w:rPr>
                <w:rFonts w:cs="Times New Roman" w:asciiTheme="majorEastAsia" w:hAnsiTheme="majorEastAsia" w:eastAsiaTheme="majorEastAsia"/>
                <w:sz w:val="24"/>
              </w:rPr>
              <w:t>初稿</w:t>
            </w:r>
          </w:p>
        </w:tc>
        <w:tc>
          <w:tcPr>
            <w:tcW w:w="1330" w:type="dxa"/>
            <w:vAlign w:val="center"/>
          </w:tcPr>
          <w:p w14:paraId="4439D304">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w:t>
            </w:r>
            <w:r>
              <w:rPr>
                <w:rFonts w:hint="eastAsia" w:cs="Times New Roman" w:asciiTheme="majorEastAsia" w:hAnsiTheme="majorEastAsia" w:eastAsiaTheme="majorEastAsia"/>
                <w:sz w:val="24"/>
              </w:rPr>
              <w:t>4</w:t>
            </w:r>
            <w:r>
              <w:rPr>
                <w:rFonts w:cs="Times New Roman" w:asciiTheme="majorEastAsia" w:hAnsiTheme="majorEastAsia" w:eastAsiaTheme="majorEastAsia"/>
                <w:sz w:val="24"/>
              </w:rPr>
              <w:t>个月内</w:t>
            </w:r>
          </w:p>
        </w:tc>
        <w:tc>
          <w:tcPr>
            <w:tcW w:w="1705" w:type="dxa"/>
            <w:vAlign w:val="center"/>
          </w:tcPr>
          <w:p w14:paraId="796127A0">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w:t>
            </w:r>
            <w:r>
              <w:rPr>
                <w:rFonts w:hint="eastAsia" w:cs="Times New Roman" w:asciiTheme="majorEastAsia" w:hAnsiTheme="majorEastAsia" w:eastAsiaTheme="majorEastAsia"/>
                <w:sz w:val="24"/>
              </w:rPr>
              <w:t>4</w:t>
            </w:r>
            <w:r>
              <w:rPr>
                <w:rFonts w:cs="Times New Roman" w:asciiTheme="majorEastAsia" w:hAnsiTheme="majorEastAsia" w:eastAsiaTheme="majorEastAsia"/>
                <w:sz w:val="24"/>
              </w:rPr>
              <w:t>个月内</w:t>
            </w:r>
          </w:p>
        </w:tc>
        <w:tc>
          <w:tcPr>
            <w:tcW w:w="1705" w:type="dxa"/>
            <w:vAlign w:val="center"/>
          </w:tcPr>
          <w:p w14:paraId="1F3A29E6">
            <w:pPr>
              <w:rPr>
                <w:rFonts w:cs="Times New Roman" w:asciiTheme="majorEastAsia" w:hAnsiTheme="majorEastAsia" w:eastAsiaTheme="majorEastAsia"/>
                <w:sz w:val="24"/>
              </w:rPr>
            </w:pPr>
            <w:r>
              <w:rPr>
                <w:rFonts w:hint="eastAsia" w:cs="Times New Roman" w:asciiTheme="majorEastAsia" w:hAnsiTheme="majorEastAsia" w:eastAsiaTheme="majorEastAsia"/>
                <w:sz w:val="24"/>
              </w:rPr>
              <w:t>4</w:t>
            </w:r>
            <w:r>
              <w:rPr>
                <w:rFonts w:cs="Times New Roman" w:asciiTheme="majorEastAsia" w:hAnsiTheme="majorEastAsia" w:eastAsiaTheme="majorEastAsia"/>
                <w:sz w:val="24"/>
              </w:rPr>
              <w:t>0%</w:t>
            </w:r>
          </w:p>
        </w:tc>
      </w:tr>
      <w:tr w14:paraId="1571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Merge w:val="restart"/>
            <w:vAlign w:val="center"/>
          </w:tcPr>
          <w:p w14:paraId="0C7E1B29">
            <w:pPr>
              <w:rPr>
                <w:rFonts w:cs="Times New Roman" w:asciiTheme="majorEastAsia" w:hAnsiTheme="majorEastAsia" w:eastAsiaTheme="majorEastAsia"/>
                <w:sz w:val="24"/>
              </w:rPr>
            </w:pPr>
            <w:r>
              <w:rPr>
                <w:rFonts w:cs="Times New Roman" w:asciiTheme="majorEastAsia" w:hAnsiTheme="majorEastAsia" w:eastAsiaTheme="majorEastAsia"/>
                <w:sz w:val="24"/>
              </w:rPr>
              <w:t>3</w:t>
            </w:r>
          </w:p>
        </w:tc>
        <w:tc>
          <w:tcPr>
            <w:tcW w:w="2900" w:type="dxa"/>
            <w:vAlign w:val="center"/>
          </w:tcPr>
          <w:p w14:paraId="5CE4B29C">
            <w:pPr>
              <w:rPr>
                <w:rFonts w:cs="Times New Roman" w:asciiTheme="majorEastAsia" w:hAnsiTheme="majorEastAsia" w:eastAsiaTheme="majorEastAsia"/>
                <w:sz w:val="24"/>
              </w:rPr>
            </w:pPr>
            <w:r>
              <w:rPr>
                <w:rFonts w:cs="Times New Roman" w:asciiTheme="majorEastAsia" w:hAnsiTheme="majorEastAsia" w:eastAsiaTheme="majorEastAsia"/>
                <w:sz w:val="24"/>
              </w:rPr>
              <w:t>a. 交付成果4.1</w:t>
            </w:r>
            <w:r>
              <w:rPr>
                <w:rFonts w:hint="eastAsia" w:cs="Times New Roman" w:asciiTheme="majorEastAsia" w:hAnsiTheme="majorEastAsia" w:eastAsiaTheme="majorEastAsia"/>
                <w:sz w:val="24"/>
              </w:rPr>
              <w:t>、4.4、4.5</w:t>
            </w:r>
            <w:r>
              <w:rPr>
                <w:rFonts w:cs="Times New Roman" w:asciiTheme="majorEastAsia" w:hAnsiTheme="majorEastAsia" w:eastAsiaTheme="majorEastAsia"/>
                <w:sz w:val="24"/>
              </w:rPr>
              <w:t>修订稿</w:t>
            </w:r>
          </w:p>
          <w:p w14:paraId="4CA4E5C9">
            <w:pPr>
              <w:rPr>
                <w:rFonts w:cs="Times New Roman" w:asciiTheme="majorEastAsia" w:hAnsiTheme="majorEastAsia" w:eastAsiaTheme="majorEastAsia"/>
                <w:sz w:val="24"/>
              </w:rPr>
            </w:pPr>
            <w:r>
              <w:rPr>
                <w:rFonts w:cs="Times New Roman" w:asciiTheme="majorEastAsia" w:hAnsiTheme="majorEastAsia" w:eastAsiaTheme="majorEastAsia"/>
                <w:sz w:val="24"/>
              </w:rPr>
              <w:t>b. 交付成果</w:t>
            </w:r>
            <w:r>
              <w:rPr>
                <w:rFonts w:hint="eastAsia" w:cs="Times New Roman" w:asciiTheme="majorEastAsia" w:hAnsiTheme="majorEastAsia" w:eastAsiaTheme="majorEastAsia"/>
                <w:sz w:val="24"/>
              </w:rPr>
              <w:t>4.2、</w:t>
            </w:r>
            <w:r>
              <w:rPr>
                <w:rFonts w:cs="Times New Roman" w:asciiTheme="majorEastAsia" w:hAnsiTheme="majorEastAsia" w:eastAsiaTheme="majorEastAsia"/>
                <w:sz w:val="24"/>
              </w:rPr>
              <w:t>4.3初稿</w:t>
            </w:r>
          </w:p>
        </w:tc>
        <w:tc>
          <w:tcPr>
            <w:tcW w:w="1330" w:type="dxa"/>
            <w:vAlign w:val="center"/>
          </w:tcPr>
          <w:p w14:paraId="6D102510">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w:t>
            </w:r>
            <w:r>
              <w:rPr>
                <w:rFonts w:hint="eastAsia" w:cs="Times New Roman" w:asciiTheme="majorEastAsia" w:hAnsiTheme="majorEastAsia" w:eastAsiaTheme="majorEastAsia"/>
                <w:sz w:val="24"/>
              </w:rPr>
              <w:t>7</w:t>
            </w:r>
            <w:r>
              <w:rPr>
                <w:rFonts w:cs="Times New Roman" w:asciiTheme="majorEastAsia" w:hAnsiTheme="majorEastAsia" w:eastAsiaTheme="majorEastAsia"/>
                <w:sz w:val="24"/>
              </w:rPr>
              <w:t>个月内</w:t>
            </w:r>
          </w:p>
        </w:tc>
        <w:tc>
          <w:tcPr>
            <w:tcW w:w="1705" w:type="dxa"/>
            <w:vMerge w:val="restart"/>
            <w:vAlign w:val="center"/>
          </w:tcPr>
          <w:p w14:paraId="1F6AB6DF">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合同签署后1</w:t>
            </w:r>
            <w:r>
              <w:rPr>
                <w:rFonts w:hint="eastAsia" w:cs="Times New Roman" w:asciiTheme="majorEastAsia" w:hAnsiTheme="majorEastAsia" w:eastAsiaTheme="majorEastAsia"/>
                <w:sz w:val="24"/>
              </w:rPr>
              <w:t>2</w:t>
            </w:r>
            <w:r>
              <w:rPr>
                <w:rFonts w:cs="Times New Roman" w:asciiTheme="majorEastAsia" w:hAnsiTheme="majorEastAsia" w:eastAsiaTheme="majorEastAsia"/>
                <w:sz w:val="24"/>
              </w:rPr>
              <w:t>个月内</w:t>
            </w:r>
          </w:p>
        </w:tc>
        <w:tc>
          <w:tcPr>
            <w:tcW w:w="1705" w:type="dxa"/>
            <w:vMerge w:val="restart"/>
            <w:vAlign w:val="center"/>
          </w:tcPr>
          <w:p w14:paraId="5BF65D9B">
            <w:pPr>
              <w:rPr>
                <w:rFonts w:cs="Times New Roman" w:asciiTheme="majorEastAsia" w:hAnsiTheme="majorEastAsia" w:eastAsiaTheme="majorEastAsia"/>
                <w:sz w:val="24"/>
              </w:rPr>
            </w:pPr>
            <w:r>
              <w:rPr>
                <w:rFonts w:cs="Times New Roman" w:asciiTheme="majorEastAsia" w:hAnsiTheme="majorEastAsia" w:eastAsiaTheme="majorEastAsia"/>
                <w:sz w:val="24"/>
              </w:rPr>
              <w:t>45%</w:t>
            </w:r>
          </w:p>
        </w:tc>
      </w:tr>
      <w:tr w14:paraId="3E5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Merge w:val="continue"/>
            <w:vAlign w:val="center"/>
          </w:tcPr>
          <w:p w14:paraId="4CA827B1">
            <w:pPr>
              <w:rPr>
                <w:rFonts w:cs="Times New Roman" w:asciiTheme="majorEastAsia" w:hAnsiTheme="majorEastAsia" w:eastAsiaTheme="majorEastAsia"/>
                <w:sz w:val="24"/>
              </w:rPr>
            </w:pPr>
          </w:p>
        </w:tc>
        <w:tc>
          <w:tcPr>
            <w:tcW w:w="2900" w:type="dxa"/>
            <w:vAlign w:val="center"/>
          </w:tcPr>
          <w:p w14:paraId="6A078BA9">
            <w:pPr>
              <w:rPr>
                <w:rFonts w:cs="Times New Roman" w:asciiTheme="majorEastAsia" w:hAnsiTheme="majorEastAsia" w:eastAsiaTheme="majorEastAsia"/>
                <w:sz w:val="24"/>
              </w:rPr>
            </w:pPr>
            <w:r>
              <w:rPr>
                <w:rFonts w:cs="Times New Roman" w:asciiTheme="majorEastAsia" w:hAnsiTheme="majorEastAsia" w:eastAsiaTheme="majorEastAsia"/>
                <w:sz w:val="24"/>
              </w:rPr>
              <w:t>c. 交付成果4.2,4.3修订稿</w:t>
            </w:r>
          </w:p>
        </w:tc>
        <w:tc>
          <w:tcPr>
            <w:tcW w:w="1330" w:type="dxa"/>
            <w:vAlign w:val="center"/>
          </w:tcPr>
          <w:p w14:paraId="3E85D4D8">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w:t>
            </w:r>
            <w:r>
              <w:rPr>
                <w:rFonts w:hint="eastAsia" w:cs="Times New Roman" w:asciiTheme="majorEastAsia" w:hAnsiTheme="majorEastAsia" w:eastAsiaTheme="majorEastAsia"/>
                <w:sz w:val="24"/>
              </w:rPr>
              <w:t>9</w:t>
            </w:r>
            <w:r>
              <w:rPr>
                <w:rFonts w:cs="Times New Roman" w:asciiTheme="majorEastAsia" w:hAnsiTheme="majorEastAsia" w:eastAsiaTheme="majorEastAsia"/>
                <w:sz w:val="24"/>
              </w:rPr>
              <w:t>个月内</w:t>
            </w:r>
          </w:p>
        </w:tc>
        <w:tc>
          <w:tcPr>
            <w:tcW w:w="1705" w:type="dxa"/>
            <w:vMerge w:val="continue"/>
            <w:vAlign w:val="center"/>
          </w:tcPr>
          <w:p w14:paraId="2F434560">
            <w:pPr>
              <w:rPr>
                <w:rFonts w:cs="Times New Roman" w:asciiTheme="majorEastAsia" w:hAnsiTheme="majorEastAsia" w:eastAsiaTheme="majorEastAsia"/>
                <w:sz w:val="24"/>
              </w:rPr>
            </w:pPr>
          </w:p>
        </w:tc>
        <w:tc>
          <w:tcPr>
            <w:tcW w:w="1705" w:type="dxa"/>
            <w:vMerge w:val="continue"/>
            <w:vAlign w:val="center"/>
          </w:tcPr>
          <w:p w14:paraId="42C944B9">
            <w:pPr>
              <w:rPr>
                <w:rFonts w:cs="Times New Roman" w:asciiTheme="majorEastAsia" w:hAnsiTheme="majorEastAsia" w:eastAsiaTheme="majorEastAsia"/>
                <w:sz w:val="24"/>
              </w:rPr>
            </w:pPr>
          </w:p>
        </w:tc>
      </w:tr>
      <w:tr w14:paraId="0D96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Merge w:val="continue"/>
            <w:vAlign w:val="center"/>
          </w:tcPr>
          <w:p w14:paraId="41CA09AE">
            <w:pPr>
              <w:rPr>
                <w:rFonts w:cs="Times New Roman" w:asciiTheme="majorEastAsia" w:hAnsiTheme="majorEastAsia" w:eastAsiaTheme="majorEastAsia"/>
                <w:sz w:val="24"/>
              </w:rPr>
            </w:pPr>
          </w:p>
        </w:tc>
        <w:tc>
          <w:tcPr>
            <w:tcW w:w="2900" w:type="dxa"/>
            <w:vAlign w:val="center"/>
          </w:tcPr>
          <w:p w14:paraId="7EE21FD7">
            <w:pPr>
              <w:rPr>
                <w:rFonts w:cs="Times New Roman" w:asciiTheme="majorEastAsia" w:hAnsiTheme="majorEastAsia" w:eastAsiaTheme="majorEastAsia"/>
                <w:sz w:val="24"/>
              </w:rPr>
            </w:pPr>
            <w:r>
              <w:rPr>
                <w:rFonts w:hint="eastAsia" w:cs="Times New Roman" w:asciiTheme="majorEastAsia" w:hAnsiTheme="majorEastAsia" w:eastAsiaTheme="majorEastAsia"/>
                <w:sz w:val="24"/>
              </w:rPr>
              <w:t>d.完成</w:t>
            </w:r>
            <w:r>
              <w:rPr>
                <w:rFonts w:cs="Times New Roman" w:asciiTheme="majorEastAsia" w:hAnsiTheme="majorEastAsia" w:eastAsiaTheme="majorEastAsia"/>
                <w:sz w:val="24"/>
              </w:rPr>
              <w:t>项目文件PDO指标4.3要求——建立跨境碳交易机制框架，并由生态环境部发布</w:t>
            </w:r>
          </w:p>
          <w:p w14:paraId="43EC6DD2">
            <w:pPr>
              <w:rPr>
                <w:rFonts w:cs="Times New Roman" w:asciiTheme="majorEastAsia" w:hAnsiTheme="majorEastAsia" w:eastAsiaTheme="majorEastAsia"/>
                <w:sz w:val="24"/>
              </w:rPr>
            </w:pPr>
            <w:r>
              <w:rPr>
                <w:rFonts w:hint="eastAsia" w:cs="Times New Roman" w:asciiTheme="majorEastAsia" w:hAnsiTheme="majorEastAsia" w:eastAsiaTheme="majorEastAsia"/>
                <w:sz w:val="24"/>
              </w:rPr>
              <w:t>e</w:t>
            </w:r>
            <w:r>
              <w:rPr>
                <w:rFonts w:cs="Times New Roman" w:asciiTheme="majorEastAsia" w:hAnsiTheme="majorEastAsia" w:eastAsiaTheme="majorEastAsia"/>
                <w:sz w:val="24"/>
              </w:rPr>
              <w:t>. 交付成果4.1</w:t>
            </w:r>
            <w:r>
              <w:rPr>
                <w:rFonts w:hint="eastAsia" w:cs="Times New Roman" w:asciiTheme="majorEastAsia" w:hAnsiTheme="majorEastAsia" w:eastAsiaTheme="majorEastAsia"/>
                <w:sz w:val="24"/>
              </w:rPr>
              <w:t>,</w:t>
            </w:r>
            <w:r>
              <w:rPr>
                <w:rFonts w:cs="Times New Roman" w:asciiTheme="majorEastAsia" w:hAnsiTheme="majorEastAsia" w:eastAsiaTheme="majorEastAsia"/>
                <w:sz w:val="24"/>
              </w:rPr>
              <w:t>4.2,4.3,4.4终稿</w:t>
            </w:r>
          </w:p>
        </w:tc>
        <w:tc>
          <w:tcPr>
            <w:tcW w:w="1330" w:type="dxa"/>
            <w:vAlign w:val="center"/>
          </w:tcPr>
          <w:p w14:paraId="603DEEB9">
            <w:pPr>
              <w:rPr>
                <w:rFonts w:cs="Times New Roman" w:asciiTheme="majorEastAsia" w:hAnsiTheme="majorEastAsia" w:eastAsiaTheme="majorEastAsia"/>
                <w:sz w:val="24"/>
              </w:rPr>
            </w:pPr>
            <w:r>
              <w:rPr>
                <w:rFonts w:cs="Times New Roman" w:asciiTheme="majorEastAsia" w:hAnsiTheme="majorEastAsia" w:eastAsiaTheme="majorEastAsia"/>
                <w:sz w:val="24"/>
              </w:rPr>
              <w:t>合同签署后1</w:t>
            </w:r>
            <w:r>
              <w:rPr>
                <w:rFonts w:hint="eastAsia" w:cs="Times New Roman" w:asciiTheme="majorEastAsia" w:hAnsiTheme="majorEastAsia" w:eastAsiaTheme="majorEastAsia"/>
                <w:sz w:val="24"/>
              </w:rPr>
              <w:t>2</w:t>
            </w:r>
            <w:r>
              <w:rPr>
                <w:rFonts w:cs="Times New Roman" w:asciiTheme="majorEastAsia" w:hAnsiTheme="majorEastAsia" w:eastAsiaTheme="majorEastAsia"/>
                <w:sz w:val="24"/>
              </w:rPr>
              <w:t>个月内</w:t>
            </w:r>
          </w:p>
        </w:tc>
        <w:tc>
          <w:tcPr>
            <w:tcW w:w="1705" w:type="dxa"/>
            <w:vMerge w:val="continue"/>
            <w:vAlign w:val="center"/>
          </w:tcPr>
          <w:p w14:paraId="42FC1C74">
            <w:pPr>
              <w:rPr>
                <w:rFonts w:cs="Times New Roman" w:asciiTheme="majorEastAsia" w:hAnsiTheme="majorEastAsia" w:eastAsiaTheme="majorEastAsia"/>
                <w:sz w:val="24"/>
              </w:rPr>
            </w:pPr>
          </w:p>
        </w:tc>
        <w:tc>
          <w:tcPr>
            <w:tcW w:w="1705" w:type="dxa"/>
            <w:vMerge w:val="continue"/>
            <w:vAlign w:val="center"/>
          </w:tcPr>
          <w:p w14:paraId="5CDC6189">
            <w:pPr>
              <w:rPr>
                <w:rFonts w:cs="Times New Roman" w:asciiTheme="majorEastAsia" w:hAnsiTheme="majorEastAsia" w:eastAsiaTheme="majorEastAsia"/>
                <w:sz w:val="24"/>
              </w:rPr>
            </w:pPr>
          </w:p>
        </w:tc>
      </w:tr>
    </w:tbl>
    <w:p w14:paraId="2871BEAC">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分包承担单位需在项目建议书中制定详细的项目进度安排，以明确每项成果的交付时间。交付成果提交及款项支付的最终时间安排以合同条款与条件为准。若为执行分包合同所需，在双方协商一致的前提下，合同可根据实际需要进行修订或续签。</w:t>
      </w:r>
    </w:p>
    <w:p w14:paraId="2EAC885A">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咨询服务单位资质及团队要求</w:t>
      </w:r>
    </w:p>
    <w:p w14:paraId="2BF7C38E">
      <w:pPr>
        <w:pStyle w:val="3"/>
        <w:spacing w:before="156" w:beforeLines="50" w:after="156" w:afterLines="50" w:line="240" w:lineRule="auto"/>
        <w:ind w:firstLine="56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6.1 项目承接单位要求</w:t>
      </w:r>
    </w:p>
    <w:p w14:paraId="12786B79">
      <w:pPr>
        <w:spacing w:before="156" w:beforeLines="50" w:after="156" w:afterLines="50"/>
        <w:ind w:firstLine="560" w:firstLineChars="200"/>
        <w:rPr>
          <w:rFonts w:cs="Times New Roman" w:asciiTheme="majorEastAsia" w:hAnsiTheme="majorEastAsia" w:eastAsiaTheme="majorEastAsia"/>
          <w:b w:val="0"/>
          <w:bCs w:val="0"/>
          <w:sz w:val="28"/>
          <w:szCs w:val="28"/>
        </w:rPr>
      </w:pPr>
      <w:r>
        <w:rPr>
          <w:rFonts w:hint="eastAsia" w:cs="Times New Roman" w:asciiTheme="majorEastAsia" w:hAnsiTheme="majorEastAsia" w:eastAsiaTheme="majorEastAsia"/>
          <w:b w:val="0"/>
          <w:bCs w:val="0"/>
          <w:sz w:val="28"/>
          <w:szCs w:val="28"/>
        </w:rPr>
        <w:t>本项目允许联合体参与投标，联合体各方应满足本工作任务大纲所要求的资质条件，且需满足《中华人民共和国政府采购法》第二十二条规定，并明确牵头单位和参与单位的各方职责分工。</w:t>
      </w:r>
    </w:p>
    <w:p w14:paraId="53623693">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本项目分包任务旨在从国际机制对接层面开展跨境碳交易战略评估，研究成果将直接支撑生</w:t>
      </w:r>
      <w:bookmarkStart w:id="0" w:name="_GoBack"/>
      <w:bookmarkEnd w:id="0"/>
      <w:r>
        <w:rPr>
          <w:rFonts w:hint="eastAsia" w:cs="Times New Roman" w:asciiTheme="majorEastAsia" w:hAnsiTheme="majorEastAsia" w:eastAsiaTheme="majorEastAsia"/>
          <w:sz w:val="28"/>
          <w:szCs w:val="28"/>
        </w:rPr>
        <w:t>态环境部制定跨境碳交易政策框架及参与国际碳市场规则制定。要求承接单位需要具有以下能力：</w:t>
      </w:r>
    </w:p>
    <w:p w14:paraId="07BCCFEB">
      <w:pPr>
        <w:numPr>
          <w:ilvl w:val="0"/>
          <w:numId w:val="3"/>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熟悉《巴黎协定》第六条相关规则、CORSIA规则框架及国际碳市场发展趋势，具备跟踪分析国际碳市场规则演变的能力；</w:t>
      </w:r>
    </w:p>
    <w:p w14:paraId="2F40FE0E">
      <w:pPr>
        <w:numPr>
          <w:ilvl w:val="0"/>
          <w:numId w:val="3"/>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具备跟踪分析国际气候谈判及国际碳市场规则制定进程的能力，能够通过公开渠道（如UNFCCC、ICAO官方网站、缔约方会议决议文件等）获取并解读最新国际规则信息；</w:t>
      </w:r>
    </w:p>
    <w:p w14:paraId="1B355586">
      <w:pPr>
        <w:numPr>
          <w:ilvl w:val="0"/>
          <w:numId w:val="3"/>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具有参与国家碳市场或气候政策相关研究的经验，熟悉生态环境部等主管部门的政策制定流程，具备将研究成果转化为政策建议文件的能力；</w:t>
      </w:r>
    </w:p>
    <w:p w14:paraId="2BFC35C4">
      <w:pPr>
        <w:numPr>
          <w:ilvl w:val="0"/>
          <w:numId w:val="3"/>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具备开展国际碳市场比较研究的能力，熟悉国际碳信用机制（如CDM、VCS、GS</w:t>
      </w:r>
      <w:r>
        <w:rPr>
          <w:rStyle w:val="16"/>
          <w:rFonts w:hint="eastAsia" w:cs="Times New Roman" w:asciiTheme="majorEastAsia" w:hAnsiTheme="majorEastAsia" w:eastAsiaTheme="majorEastAsia"/>
          <w:sz w:val="28"/>
          <w:szCs w:val="28"/>
        </w:rPr>
        <w:footnoteReference w:id="11"/>
      </w:r>
      <w:r>
        <w:rPr>
          <w:rFonts w:hint="eastAsia" w:cs="Times New Roman" w:asciiTheme="majorEastAsia" w:hAnsiTheme="majorEastAsia" w:eastAsiaTheme="majorEastAsia"/>
          <w:sz w:val="28"/>
          <w:szCs w:val="28"/>
        </w:rPr>
        <w:t>等）及国际碳市场链接的实践经验；</w:t>
      </w:r>
    </w:p>
    <w:p w14:paraId="46F5A7B2">
      <w:pPr>
        <w:numPr>
          <w:ilvl w:val="0"/>
          <w:numId w:val="3"/>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在碳市场国际链接相关领域具备研究经验与分析能力，能够开展跨境碳交易机制框架研究。</w:t>
      </w:r>
    </w:p>
    <w:p w14:paraId="592F2C68">
      <w:pPr>
        <w:pStyle w:val="3"/>
        <w:spacing w:before="156" w:beforeLines="50" w:after="156" w:afterLines="50" w:line="240" w:lineRule="auto"/>
        <w:ind w:firstLine="56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6.2 课题研究团队要求</w:t>
      </w:r>
    </w:p>
    <w:p w14:paraId="2F85E701">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项目团队人员数量应满足项目实际工作需要。团队构成应有国际法或国际关系研究人员、碳市场政策研究人员、经济分析人员、项目与财务管理人员、环境社会风险管控人员等。</w:t>
      </w:r>
    </w:p>
    <w:p w14:paraId="5CD80C78">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a. 项目负责人（1人）</w:t>
      </w:r>
    </w:p>
    <w:p w14:paraId="11AD3C46">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负责项目总体规划、任务部署和进度把控等工作。应熟悉《巴黎协定》第六条规则体系，具有国际气候治理或国际碳市场研究领域8年以上工作经验，或作为项目负责人承担过国家级或部委级国际规则研究项目。</w:t>
      </w:r>
    </w:p>
    <w:p w14:paraId="184DCF2E">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b. 技术人员（若干）</w:t>
      </w:r>
    </w:p>
    <w:p w14:paraId="1AC696DE">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团队应配置具备以下能力和经验的技术人员：</w:t>
      </w:r>
    </w:p>
    <w:p w14:paraId="75554F78">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在国际碳市场研究领域具有5年以上工作经验，或曾以主要技术负责人身份承担过国家级或省部级相关研究项目，具备承担项目方案制定、技术决策及研究成果质量把控的能力；</w:t>
      </w:r>
    </w:p>
    <w:p w14:paraId="12E274EB">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国际气候治理或国际碳市场规则研究领域具有3年以上工作经历，或曾以主要技术人员身份参与过相关研究项目，具备承担《巴黎协定》第6条合作方法战略评估（含卖方/买方角色定位、机会成本分析、授权机制及相应调整制度评估等）任务的能力；</w:t>
      </w:r>
    </w:p>
    <w:p w14:paraId="6F957205">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在CORSIA或国际航空碳市场领域具有3年以上工作经历，或曾以主要技术人员身份参与过相关研究项目，具备承担CCER参与CORSIA战略评估任务的能力；</w:t>
      </w:r>
    </w:p>
    <w:p w14:paraId="1B26206A">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在成果导向型气候融资机制（如GCF、GEF、TCAF、FCPF、REDD+</w:t>
      </w:r>
      <w:r>
        <w:rPr>
          <w:rStyle w:val="16"/>
          <w:rFonts w:hint="eastAsia" w:cs="Times New Roman" w:asciiTheme="majorEastAsia" w:hAnsiTheme="majorEastAsia" w:eastAsiaTheme="majorEastAsia"/>
          <w:sz w:val="28"/>
          <w:szCs w:val="28"/>
        </w:rPr>
        <w:footnoteReference w:id="12"/>
      </w:r>
      <w:r>
        <w:rPr>
          <w:rFonts w:hint="eastAsia" w:cs="Times New Roman" w:asciiTheme="majorEastAsia" w:hAnsiTheme="majorEastAsia" w:eastAsiaTheme="majorEastAsia"/>
          <w:sz w:val="28"/>
          <w:szCs w:val="28"/>
        </w:rPr>
        <w:t>等）领域具有3年以上工作经历，或曾以主要技术人员身份参与过相关研究项目，具备承担成果导向型气候融资机制评估任务的能力；</w:t>
      </w:r>
    </w:p>
    <w:p w14:paraId="097EA502">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在碳市场注册登记簿系统或碳信用追踪领域具有3年以上工作经历，或曾以主要技术人员身份参与过相关研究项目，具备承担CCER登记簿与国际登记簿系统互联互通技术评估任务的能力；</w:t>
      </w:r>
    </w:p>
    <w:p w14:paraId="7E4AE9ED">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在CCER或自愿减排碳市场领域具有3年以上工作经历，或曾以主要技术人员身份参与过相关研究项目，具备承担CCER参与CORSIA技术分析（含标准比对、项目类型匹配、方法学识别、认证程序研究等）任务的能力；</w:t>
      </w:r>
    </w:p>
    <w:p w14:paraId="63CA61A6">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跨国公司供应链脱碳或企业碳信用采购领域具有3年以上工作经历，或曾以主要技术人员身份参与过相关研究项目，具备承担中国参与供应链脱碳倡议评估（含需求分析、战略价值评估、政策建议等）任务的能力；</w:t>
      </w:r>
    </w:p>
    <w:p w14:paraId="1370B815">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海外减排项目开发或国际碳信用项目领域具有3年以上工作经历，或曾以主要技术人员身份参与过相关研究项目，具备承担海外减排项目参与CCER制度框架研究（含规则衔接、跨境监管、双重计算防范、制度框架设计等）任务的能力；</w:t>
      </w:r>
    </w:p>
    <w:p w14:paraId="241D8245">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在跨境碳交易政策或碳市场制度设计领域具有5年以上工作经历，或曾以主要技术人员身份参与过相关研究项目，具备承担跨境碳交易机制框架政策建议及框架草案编制任务的能力；</w:t>
      </w:r>
    </w:p>
    <w:p w14:paraId="29538598">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在国际碳市场或碳金融领域具有3年以上工作经验，具备以英文开展研究工作的能力，能够跟踪分析国际碳市场最新规则动态；</w:t>
      </w:r>
    </w:p>
    <w:p w14:paraId="30C5D3E6">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曾参与国家级气候政策、碳定价机制或相关领域政策建议文件起草工作，熟悉向国家部委报送政策建议文件的工作流程、格式规范与内容要求，具备将研究成果转化为可供部级领导决策参考的建议性监管框架和政策建议文件的能力；</w:t>
      </w:r>
    </w:p>
    <w:p w14:paraId="2DD6CD81">
      <w:pPr>
        <w:numPr>
          <w:ilvl w:val="0"/>
          <w:numId w:val="4"/>
        </w:numPr>
        <w:spacing w:before="156" w:beforeLines="50" w:after="156" w:afterLines="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根据研究工作实际需要，配备在相关研究领域具有2年以上工作经验的成员，具备承担资料收集、数据分析、报告撰写等技术支持工作的能力。</w:t>
      </w:r>
    </w:p>
    <w:p w14:paraId="31C6B969">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c. 环境社会专家（2人）</w:t>
      </w:r>
    </w:p>
    <w:p w14:paraId="3C7D9159">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配备环境专家和社会专家各1人。专家须熟悉世界银行《环境和社会框架》（ESF）相关政策要求，具有不少于5年的气候政策或碳市场领域环境社会影响评估经验，并具备跨境或国际碳交易项目的环境社会分析背景，熟悉《巴黎协定》第六条框架下东道国及项目社区影响评估的相关实践。专家主要职责包括：评估各交付成果所提政策框架和制度安排可能产生的下游影响，重点分析对"一带一路"沿线海外项目所在社区的跨境影响，以及对国内高碳行业转型工人和中小企业的社会影响；在各交付成果中撰写专项E&amp;S分析章节；协助制定和实施利益相关方磋商及信息公开计划；接受项目管理办公室环境社会专家的监督和指导。</w:t>
      </w:r>
    </w:p>
    <w:p w14:paraId="5D486BCF">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d. 财务管理（1人）</w:t>
      </w:r>
    </w:p>
    <w:p w14:paraId="28F04B78">
      <w:pPr>
        <w:spacing w:before="156" w:beforeLines="50" w:after="156" w:afterLines="50"/>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按照世界银行相关政策要求，负责本项目财务日常管理、编制项目财务报告，并配合提交项目监督管理及审计所需的所有资料。</w:t>
      </w:r>
    </w:p>
    <w:p w14:paraId="258BFA96">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环境社会风险要求</w:t>
      </w:r>
    </w:p>
    <w:p w14:paraId="0619049E">
      <w:pPr>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咨询服务分包项目的设计和实施，应依据世界银行《环境和社会管理框架》及世界银行的《技术援助与环境社会框架指南》中的相关要求，按照项目的《环境社会管理框架》中制定的环境社会管理程序对分包任务所涉及的潜在环境和社会风险及影响进行筛选/分析和评价，并提出应对措施和建议，确保项目活动及产出符合项目制定的环境社会管理框架（ESMF）、环境和社会承诺计划（ESCP）及利益相关方参与计划（SEP）的相关要求。</w:t>
      </w:r>
    </w:p>
    <w:p w14:paraId="08D2D6C0">
      <w:pPr>
        <w:ind w:firstLine="420" w:firstLineChars="15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根据PMO所聘请的环境社会专家的意见，确定本分包任务所需要准备的环境、社会文件的类型及要求（文件类型指的是根据研究课题的类型准备相应文件）。</w:t>
      </w:r>
    </w:p>
    <w:p w14:paraId="1B8543D1">
      <w:pPr>
        <w:ind w:firstLine="420" w:firstLineChars="15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按照世行《技术援助与环境社会框架指南》确定是否需要编制单独的环境社会评价文件包括规划评价或战略评价报告，还是可以仅作为研究报告的一个章节。</w:t>
      </w:r>
    </w:p>
    <w:p w14:paraId="62876803">
      <w:pPr>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在环境社会专家的指导下，根据本项目活动所涉及的环境社会风险类型，并结合项目活动本身需要，召开项目利益相关方磋商会、咨询会、培训会、宣贯会及研讨会等，制定并实施信息公开计划及公众参与计划；同时根据要求，参加世界银行及PMO组织的相关环境社会风险类会议。</w:t>
      </w:r>
    </w:p>
    <w:p w14:paraId="1DBB56F5">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根据PMO要求，每半年提供本分包项目在环境社会风险方面所开展的工作进展，并接受PMO及其所聘请环境社会专家的监督和指导。</w:t>
      </w:r>
    </w:p>
    <w:p w14:paraId="6B1D4F4B">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所有交付成果须包含专项环境与社会影响分析章节，内容须完整涵盖以下要素：</w:t>
      </w:r>
    </w:p>
    <w:p w14:paraId="5C3AEE18">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1）影响传导路径识别：分析本交付成果所提出的国际链接政策框架或制度安排在被采纳实施后，可能通过碳定价信号、减排量跨境流动和监管规则输出等路径，对国内及境外相关主体产生的间接影响和长远风险；</w:t>
      </w:r>
    </w:p>
    <w:p w14:paraId="0BA48757">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（2）差异化影响分析：在传导路径识别的基础上，分别评估以下两类影响：</w:t>
      </w:r>
    </w:p>
    <w:p w14:paraId="7C95B6F7">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国内影响：高碳行业（如电力、钢铁、建材等）转型工人的就业与收入冲击；面临国际合规标准提升压力的中小型控排企业和CCER项目开发主体；</w:t>
      </w:r>
    </w:p>
    <w:p w14:paraId="14C2CF12">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跨境影响：中国企业在海外投资的减排项目所在社区（尤其是"一带一路"沿线国家的原住民社区和弱势群体）可能因项目准入规则、方法学调整或双重计算限制而受到的影响；以及ITMOs授权机制对东道国NDC目标实现和国内可持续发展的潜在影响；</w:t>
      </w:r>
    </w:p>
    <w:p w14:paraId="411F8267">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3）缓解措施建议：针对已识别的国内和跨境差异化影响，提出具体、可操作的缓解机制建议，包括但不限于：海外项目准入中的社区知情同意和利益共享机制要求；防止双重计算制度安排中的公平性保障条款；国内受影响群体的过渡支持和能力建设安排。</w:t>
      </w:r>
    </w:p>
    <w:p w14:paraId="7FAE390A">
      <w:pPr>
        <w:ind w:firstLine="420" w:firstLineChars="15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上述章节的篇幅应与所涉议题的复杂程度相适应，原则上不少于两（2）页。对于成果4.5（跨境碳交易机制框架草案），鉴于其政策影响同时涉及国内监管和跨境社会效应，且将直接作为生态环境部规范性文件建议稿，应根据项目管理办公室环境社会专家的意见决定是否编制独立的环境社会评价文件，并就跨境影响部分咨询世行环境社会团队的专项意见。</w:t>
      </w:r>
    </w:p>
    <w:p w14:paraId="59CF41CC">
      <w:pPr>
        <w:pStyle w:val="2"/>
        <w:rPr>
          <w:rFonts w:cs="Times New Roman" w:asciiTheme="majorEastAsia" w:hAnsiTheme="majorEastAsia" w:eastAsiaTheme="majorEastAsia"/>
          <w:b/>
          <w:bCs/>
          <w:sz w:val="28"/>
          <w:szCs w:val="28"/>
        </w:rPr>
      </w:pPr>
      <w:r>
        <w:rPr>
          <w:rFonts w:cs="Times New Roman" w:asciiTheme="majorEastAsia" w:hAnsiTheme="majorEastAsia" w:eastAsiaTheme="majorEastAsia"/>
          <w:b/>
          <w:bCs/>
          <w:sz w:val="28"/>
          <w:szCs w:val="28"/>
        </w:rPr>
        <w:t>采购方式</w:t>
      </w:r>
    </w:p>
    <w:p w14:paraId="30EB9E41">
      <w:pPr>
        <w:spacing w:before="156" w:beforeLines="50" w:after="156" w:afterLines="50"/>
        <w:ind w:firstLine="560" w:firstLineChars="20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本项目分包工作任务拟采用基于咨询顾问资历的选择（CQS）方式进行采购。</w:t>
      </w:r>
    </w:p>
    <w:p w14:paraId="2C3D764C">
      <w:pPr>
        <w:rPr>
          <w:rFonts w:cs="Times New Roman" w:asciiTheme="majorEastAsia" w:hAnsiTheme="majorEastAsia" w:eastAsiaTheme="majorEastAsia"/>
          <w:sz w:val="28"/>
          <w:szCs w:val="28"/>
        </w:rPr>
      </w:pPr>
    </w:p>
    <w:sectPr>
      <w:footerReference r:id="rId6" w:type="firs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1" w:fontKey="{3CE00E8F-B80C-4F4C-8CB4-8DA3E8B67910}"/>
  </w:font>
  <w:font w:name="Segoe UI">
    <w:panose1 w:val="020B0502040204020203"/>
    <w:charset w:val="00"/>
    <w:family w:val="swiss"/>
    <w:pitch w:val="default"/>
    <w:sig w:usb0="E4002EFF" w:usb1="C000E47F" w:usb2="00000009" w:usb3="00000000" w:csb0="200001FF" w:csb1="00000000"/>
    <w:embedRegular r:id="rId2" w:fontKey="{0FF1CD35-EBA9-46ED-8AFF-5713DF78FCFC}"/>
  </w:font>
  <w:font w:name="Aptos">
    <w:panose1 w:val="020B0004020202020204"/>
    <w:charset w:val="00"/>
    <w:family w:val="swiss"/>
    <w:pitch w:val="default"/>
    <w:sig w:usb0="20000287" w:usb1="00000003" w:usb2="00000000" w:usb3="00000000" w:csb0="2000019F" w:csb1="00000000"/>
    <w:embedRegular r:id="rId3" w:fontKey="{7BBCB741-CF97-457E-8A97-40D0CBC85FE7}"/>
  </w:font>
  <w:font w:name="WPSEMBED4">
    <w:panose1 w:val="020B0004020202020204"/>
    <w:charset w:val="00"/>
    <w:family w:val="auto"/>
    <w:pitch w:val="default"/>
    <w:sig w:usb0="20000287" w:usb1="00000003"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FB10">
    <w:pPr>
      <w:pStyle w:val="7"/>
    </w:pPr>
    <w: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bottom</wp:align>
              </wp:positionV>
              <wp:extent cx="1170305" cy="345440"/>
              <wp:effectExtent l="0" t="0" r="0" b="0"/>
              <wp:wrapNone/>
              <wp:docPr id="1918888679" name="Text Box 3"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748DA80F">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3" o:spid="_x0000_s1026" o:spt="202" alt="Official Use Only" type="#_x0000_t202" style="position:absolute;left:0pt;height:27.2pt;width:92.15pt;mso-position-horizontal:right;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4kvdtUAAAAEAQAADwAAAAAAAAABACAAAAAiAAAAZHJzL2Rv&#10;d25yZXYueG1sUEsBAhQAFAAAAAgAh07iQODzYQs9AgAAdwQAAA4AAAAAAAAAAQAgAAAAJAEAAGRy&#10;cy9lMm9Eb2MueG1sUEsFBgAAAAAGAAYAWQEAANMFAAAAAA==&#10;">
              <v:fill on="f" focussize="0,0"/>
              <v:stroke on="f"/>
              <v:imagedata o:title=""/>
              <o:lock v:ext="edit" aspectratio="f"/>
              <v:textbox inset="0mm,0mm,20pt,15pt" style="mso-fit-shape-to-text:t;">
                <w:txbxContent>
                  <w:p w14:paraId="748DA80F">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4634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C4634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FB98">
    <w:pPr>
      <w:pStyle w:val="7"/>
    </w:pPr>
    <w:r>
      <mc:AlternateContent>
        <mc:Choice Requires="wps">
          <w:drawing>
            <wp:anchor distT="0" distB="0" distL="0" distR="0" simplePos="0" relativeHeight="251661312" behindDoc="0" locked="0" layoutInCell="1" allowOverlap="1">
              <wp:simplePos x="0" y="0"/>
              <wp:positionH relativeFrom="page">
                <wp:align>right</wp:align>
              </wp:positionH>
              <wp:positionV relativeFrom="page">
                <wp:align>bottom</wp:align>
              </wp:positionV>
              <wp:extent cx="1170305" cy="345440"/>
              <wp:effectExtent l="0" t="0" r="0" b="0"/>
              <wp:wrapNone/>
              <wp:docPr id="1801062633" name="Text Box 2"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1F855378">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2" o:spid="_x0000_s1026" o:spt="202" alt="Official Use Only" type="#_x0000_t202" style="position:absolute;left:0pt;height:27.2pt;width:92.15pt;mso-position-horizontal:righ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iS921QAAAAQBAAAPAAAAAAAAAAEAIAAAACIAAABkcnMvZG93&#10;bnJldi54bWxQSwECFAAUAAAACACHTuJAjYBPJjwCAAB3BAAADgAAAAAAAAABACAAAAAkAQAAZHJz&#10;L2Uyb0RvYy54bWxQSwUGAAAAAAYABgBZAQAA0gUAAAAA&#10;">
              <v:fill on="f" focussize="0,0"/>
              <v:stroke on="f"/>
              <v:imagedata o:title=""/>
              <o:lock v:ext="edit" aspectratio="f"/>
              <v:textbox inset="0mm,0mm,20pt,15pt" style="mso-fit-shape-to-text:t;">
                <w:txbxContent>
                  <w:p w14:paraId="1F855378">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A8CC">
    <w:pPr>
      <w:pStyle w:val="7"/>
    </w:pPr>
    <w: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bottom</wp:align>
              </wp:positionV>
              <wp:extent cx="1170305" cy="345440"/>
              <wp:effectExtent l="0" t="0" r="0" b="0"/>
              <wp:wrapNone/>
              <wp:docPr id="1523755424" name="Text Box 1"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22C0D119">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1" o:spid="_x0000_s1026" o:spt="202" alt="Official Use Only" type="#_x0000_t202" style="position:absolute;left:0pt;height:27.2pt;width:92.15pt;mso-position-horizontal:righ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4kvdtUAAAAEAQAADwAAAAAAAAABACAAAAAiAAAAZHJzL2Rv&#10;d25yZXYueG1sUEsBAhQAFAAAAAgAh07iQEstaIk9AgAAdwQAAA4AAAAAAAAAAQAgAAAAJAEAAGRy&#10;cy9lMm9Eb2MueG1sUEsFBgAAAAAGAAYAWQEAANMFAAAAAA==&#10;">
              <v:fill on="f" focussize="0,0"/>
              <v:stroke on="f"/>
              <v:imagedata o:title=""/>
              <o:lock v:ext="edit" aspectratio="f"/>
              <v:textbox inset="0mm,0mm,20pt,15pt" style="mso-fit-shape-to-text:t;">
                <w:txbxContent>
                  <w:p w14:paraId="22C0D119">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0535BE5B">
      <w:pPr>
        <w:pStyle w:val="9"/>
      </w:pPr>
      <w:r>
        <w:rPr>
          <w:rStyle w:val="16"/>
        </w:rPr>
        <w:footnoteRef/>
      </w:r>
      <w:r>
        <w:t xml:space="preserve"> UNFCCC, 2024, Standard: Application of the requirements of Chapter V.B (Methodologies) for the development and assessment of Article 6.4 mechanism methodologies. https://unfccc.int/documents/641251</w:t>
      </w:r>
      <w:r>
        <w:rPr>
          <w:rFonts w:hint="eastAsia"/>
        </w:rPr>
        <w:t>（第6.4条机制中的相关国际标准）</w:t>
      </w:r>
    </w:p>
  </w:footnote>
  <w:footnote w:id="1">
    <w:p w14:paraId="79D44C0C">
      <w:pPr>
        <w:pStyle w:val="9"/>
      </w:pPr>
      <w:r>
        <w:rPr>
          <w:rStyle w:val="16"/>
        </w:rPr>
        <w:footnoteRef/>
      </w:r>
      <w:r>
        <w:t xml:space="preserve"> UNFCCC, 2024, Standard: Requirements for activities involving removals under the Article 6.4 mechanism. https://unfccc.int/documents/641297</w:t>
      </w:r>
      <w:r>
        <w:rPr>
          <w:rFonts w:hint="eastAsia"/>
        </w:rPr>
        <w:t>（第6.4条机制中有关清除活动的标准）</w:t>
      </w:r>
    </w:p>
  </w:footnote>
  <w:footnote w:id="2">
    <w:p w14:paraId="5B0E5EBF">
      <w:pPr>
        <w:pStyle w:val="9"/>
      </w:pPr>
      <w:r>
        <w:rPr>
          <w:rStyle w:val="16"/>
        </w:rPr>
        <w:footnoteRef/>
      </w:r>
      <w:r>
        <w:t xml:space="preserve"> </w:t>
      </w:r>
      <w:r>
        <w:rPr>
          <w:rFonts w:hint="eastAsia"/>
        </w:rPr>
        <w:t>海外减排项目是指中国企业在境外（含“一带一路”沿线国家及其他地区）投资、建设或运营的温室气体减排项目，包括可再生能源发电、甲烷回收利用、林业碳汇、能效提升等类型。本任务聚焦于此类项目产生的减排量如何进入国内CCER市场的制度框架问题。</w:t>
      </w:r>
    </w:p>
  </w:footnote>
  <w:footnote w:id="3">
    <w:p w14:paraId="3877FBD1">
      <w:pPr>
        <w:pStyle w:val="9"/>
      </w:pPr>
      <w:r>
        <w:rPr>
          <w:rStyle w:val="16"/>
        </w:rPr>
        <w:footnoteRef/>
      </w:r>
      <w:r>
        <w:t xml:space="preserve"> </w:t>
      </w:r>
      <w:r>
        <w:rPr>
          <w:rFonts w:hint="eastAsia"/>
        </w:rPr>
        <w:t>“结果导向型气候融资机制”是指根据核查的气候成果（如减排量）支付资金的融资安排，包括多边基金，如绿色气候基金（GCF）、全球环境基金（GEF）等；及其他机制，如世界银行转型碳资产基金（TCAF）、世界银行森林碳伙伴基金（FCPF）碳基金、联合国减少毁林和森林退化所致排放量（REDD+）成果导向付款机制等。本任务以案例分析和机制比较为主，不要求逐一研究全部机制。</w:t>
      </w:r>
    </w:p>
  </w:footnote>
  <w:footnote w:id="4">
    <w:p w14:paraId="2F124B0B">
      <w:pPr>
        <w:pStyle w:val="9"/>
      </w:pPr>
      <w:r>
        <w:rPr>
          <w:rStyle w:val="16"/>
        </w:rPr>
        <w:footnoteRef/>
      </w:r>
      <w:r>
        <w:t xml:space="preserve"> </w:t>
      </w:r>
      <w:r>
        <w:rPr>
          <w:rFonts w:hint="eastAsia"/>
        </w:rPr>
        <w:t>“供应链脱碳倡议”是指由跨国企业主导的、旨在减少其供应链上下游温室气体排放的合作框架。企业通过推动供应商减排、采购碳信用或内嵌信用等方式，实现自身及供应链的净零目标。代表性倡议包括科学碳目标倡议（SBTi）的企业净零标准。</w:t>
      </w:r>
    </w:p>
  </w:footnote>
  <w:footnote w:id="5">
    <w:p w14:paraId="3896597F">
      <w:pPr>
        <w:pStyle w:val="9"/>
      </w:pPr>
      <w:r>
        <w:rPr>
          <w:rStyle w:val="16"/>
        </w:rPr>
        <w:footnoteRef/>
      </w:r>
      <w:r>
        <w:t xml:space="preserve"> </w:t>
      </w:r>
      <w:r>
        <w:rPr>
          <w:rFonts w:ascii="Times New Roman" w:hAnsi="Times New Roman" w:cs="Segoe UI"/>
          <w:color w:val="0F1115"/>
          <w:szCs w:val="18"/>
          <w:shd w:val="clear" w:color="auto" w:fill="FFFFFF"/>
        </w:rPr>
        <w:t>PMI‑1</w:t>
      </w:r>
      <w:r>
        <w:rPr>
          <w:rFonts w:hint="eastAsia" w:ascii="Times New Roman" w:hAnsi="Times New Roman" w:cs="Segoe UI"/>
          <w:color w:val="0F1115"/>
          <w:szCs w:val="18"/>
          <w:shd w:val="clear" w:color="auto" w:fill="FFFFFF"/>
        </w:rPr>
        <w:t>分包任务旨在研究</w:t>
      </w:r>
      <w:r>
        <w:rPr>
          <w:rFonts w:hint="eastAsia"/>
        </w:rPr>
        <w:t>碳排放总量减排政策背景和政策组合下碳定价机制的定位和实施路径。</w:t>
      </w:r>
    </w:p>
  </w:footnote>
  <w:footnote w:id="6">
    <w:p w14:paraId="7AF425AA">
      <w:pPr>
        <w:pStyle w:val="9"/>
      </w:pPr>
      <w:r>
        <w:rPr>
          <w:rStyle w:val="16"/>
        </w:rPr>
        <w:footnoteRef/>
      </w:r>
      <w:r>
        <w:t xml:space="preserve"> </w:t>
      </w:r>
      <w:r>
        <w:rPr>
          <w:rFonts w:ascii="Times New Roman" w:hAnsi="Times New Roman" w:cs="Segoe UI"/>
          <w:color w:val="0F1115"/>
          <w:szCs w:val="18"/>
          <w:shd w:val="clear" w:color="auto" w:fill="FFFFFF"/>
        </w:rPr>
        <w:t>PMI‑2</w:t>
      </w:r>
      <w:r>
        <w:rPr>
          <w:rFonts w:hint="eastAsia" w:ascii="Times New Roman" w:hAnsi="Times New Roman" w:cs="Segoe UI"/>
          <w:color w:val="0F1115"/>
          <w:szCs w:val="18"/>
          <w:shd w:val="clear" w:color="auto" w:fill="FFFFFF"/>
        </w:rPr>
        <w:t>分包任务旨在研究碳定价工具政策法规体系。</w:t>
      </w:r>
    </w:p>
  </w:footnote>
  <w:footnote w:id="7">
    <w:p w14:paraId="0355E45F">
      <w:pPr>
        <w:pStyle w:val="9"/>
      </w:pPr>
      <w:r>
        <w:rPr>
          <w:rStyle w:val="16"/>
        </w:rPr>
        <w:footnoteRef/>
      </w:r>
      <w:r>
        <w:t xml:space="preserve"> </w:t>
      </w:r>
      <w:r>
        <w:rPr>
          <w:rFonts w:hint="eastAsia" w:ascii="Times New Roman" w:hAnsi="Times New Roman"/>
        </w:rPr>
        <w:t>PMI-3分包任务旨在研究扩大ETS行业覆盖范围及完善国家ETS配额体系。</w:t>
      </w:r>
    </w:p>
  </w:footnote>
  <w:footnote w:id="8">
    <w:p w14:paraId="1126BC7F">
      <w:pPr>
        <w:pStyle w:val="9"/>
      </w:pPr>
      <w:r>
        <w:rPr>
          <w:rStyle w:val="16"/>
        </w:rPr>
        <w:footnoteRef/>
      </w:r>
      <w:r>
        <w:t xml:space="preserve"> </w:t>
      </w:r>
      <w:r>
        <w:rPr>
          <w:rFonts w:ascii="Times New Roman" w:hAnsi="Times New Roman" w:cs="Segoe UI"/>
          <w:color w:val="0F1115"/>
          <w:szCs w:val="18"/>
          <w:shd w:val="clear" w:color="auto" w:fill="FFFFFF"/>
        </w:rPr>
        <w:t>PMI‑4</w:t>
      </w:r>
      <w:r>
        <w:rPr>
          <w:rFonts w:hint="eastAsia" w:ascii="Times New Roman" w:hAnsi="Times New Roman" w:cs="Segoe UI"/>
          <w:color w:val="0F1115"/>
          <w:szCs w:val="18"/>
          <w:shd w:val="clear" w:color="auto" w:fill="FFFFFF"/>
        </w:rPr>
        <w:t>分包任务旨在研究提升ETS监管能力与加强数据管理平台建设、CCER制度实施效果评估及优化相关技术。</w:t>
      </w:r>
    </w:p>
  </w:footnote>
  <w:footnote w:id="9">
    <w:p w14:paraId="161A1F84">
      <w:pPr>
        <w:pStyle w:val="9"/>
      </w:pPr>
      <w:r>
        <w:rPr>
          <w:rStyle w:val="16"/>
        </w:rPr>
        <w:footnoteRef/>
      </w:r>
      <w:r>
        <w:t xml:space="preserve"> </w:t>
      </w:r>
      <w:r>
        <w:rPr>
          <w:rFonts w:ascii="Times New Roman" w:hAnsi="Times New Roman" w:cs="Segoe UI"/>
          <w:color w:val="0F1115"/>
          <w:szCs w:val="18"/>
          <w:shd w:val="clear" w:color="auto" w:fill="FFFFFF"/>
        </w:rPr>
        <w:t>PMI‑15</w:t>
      </w:r>
      <w:r>
        <w:rPr>
          <w:rFonts w:hint="eastAsia" w:ascii="Times New Roman" w:hAnsi="Times New Roman" w:cs="Segoe UI"/>
          <w:color w:val="0F1115"/>
          <w:szCs w:val="18"/>
          <w:shd w:val="clear" w:color="auto" w:fill="FFFFFF"/>
        </w:rPr>
        <w:t>分包任务旨在研究</w:t>
      </w:r>
      <w:r>
        <w:rPr>
          <w:rFonts w:hint="eastAsia"/>
        </w:rPr>
        <w:t>全国温室气体自愿减排交易市场容量和价格分析预测与市场发展路线。</w:t>
      </w:r>
    </w:p>
  </w:footnote>
  <w:footnote w:id="10">
    <w:p w14:paraId="0478B64D">
      <w:pPr>
        <w:pStyle w:val="9"/>
      </w:pPr>
      <w:r>
        <w:rPr>
          <w:rStyle w:val="16"/>
        </w:rPr>
        <w:footnoteRef/>
      </w:r>
      <w:r>
        <w:t xml:space="preserve"> </w:t>
      </w:r>
      <w:r>
        <w:rPr>
          <w:rFonts w:hint="eastAsia"/>
        </w:rPr>
        <w:t>“留存用于国内NDC履约”是指碳信用不参与国际转移，而是用于抵消国内排放或满足国内碳市场履约义务。</w:t>
      </w:r>
    </w:p>
  </w:footnote>
  <w:footnote w:id="11">
    <w:p w14:paraId="7415D55E">
      <w:pPr>
        <w:pStyle w:val="9"/>
      </w:pPr>
      <w:r>
        <w:rPr>
          <w:rStyle w:val="16"/>
        </w:rPr>
        <w:footnoteRef/>
      </w:r>
      <w:r>
        <w:t xml:space="preserve"> </w:t>
      </w:r>
      <w:r>
        <w:rPr>
          <w:rFonts w:hint="eastAsia"/>
        </w:rPr>
        <w:t>CDM为清洁发展机制（Clean Development Mechanism）；VCS为核证碳标准（Verified Carbon Standard）；GS为黄金标准（Gold Standard）。</w:t>
      </w:r>
    </w:p>
  </w:footnote>
  <w:footnote w:id="12">
    <w:p w14:paraId="4E71B390">
      <w:pPr>
        <w:pStyle w:val="9"/>
      </w:pPr>
      <w:r>
        <w:rPr>
          <w:rStyle w:val="16"/>
        </w:rPr>
        <w:footnoteRef/>
      </w:r>
      <w:r>
        <w:t xml:space="preserve"> </w:t>
      </w:r>
      <w:r>
        <w:rPr>
          <w:rFonts w:hint="eastAsia"/>
        </w:rPr>
        <w:t>GCF为绿色气候基金（Green Climate Fund），GEF为全球环境基金（Global Environment Facility），TCAF为世界银行转型碳资产基金（Transformative Carbon Asset Facility），FCPF为世界银行森林碳伙伴基金（Forest Carbon Partnership Facility），REDD+为减少毁林和森林退化所致排放量（Reducing Emissions from Deforestation and Forest Degradation）。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E7B6"/>
    <w:multiLevelType w:val="singleLevel"/>
    <w:tmpl w:val="BCD2E7B6"/>
    <w:lvl w:ilvl="0" w:tentative="0">
      <w:start w:val="1"/>
      <w:numFmt w:val="chineseCounting"/>
      <w:pStyle w:val="2"/>
      <w:suff w:val="nothing"/>
      <w:lvlText w:val="%1、"/>
      <w:lvlJc w:val="left"/>
      <w:pPr>
        <w:ind w:left="630"/>
      </w:pPr>
      <w:rPr>
        <w:rFonts w:hint="eastAsia" w:ascii="仿宋" w:hAnsi="仿宋" w:eastAsia="仿宋" w:cs="黑体"/>
      </w:rPr>
    </w:lvl>
  </w:abstractNum>
  <w:abstractNum w:abstractNumId="1">
    <w:nsid w:val="2290BC17"/>
    <w:multiLevelType w:val="singleLevel"/>
    <w:tmpl w:val="2290BC17"/>
    <w:lvl w:ilvl="0" w:tentative="0">
      <w:start w:val="1"/>
      <w:numFmt w:val="bullet"/>
      <w:lvlText w:val=""/>
      <w:lvlJc w:val="left"/>
      <w:pPr>
        <w:tabs>
          <w:tab w:val="left" w:pos="420"/>
        </w:tabs>
        <w:ind w:left="840" w:hanging="420"/>
      </w:pPr>
      <w:rPr>
        <w:rFonts w:hint="default" w:ascii="Wingdings" w:hAnsi="Wingdings"/>
      </w:rPr>
    </w:lvl>
  </w:abstractNum>
  <w:abstractNum w:abstractNumId="2">
    <w:nsid w:val="2D8FD8E3"/>
    <w:multiLevelType w:val="singleLevel"/>
    <w:tmpl w:val="2D8FD8E3"/>
    <w:lvl w:ilvl="0" w:tentative="0">
      <w:start w:val="1"/>
      <w:numFmt w:val="lowerLetter"/>
      <w:lvlText w:val="%1."/>
      <w:lvlJc w:val="left"/>
      <w:pPr>
        <w:tabs>
          <w:tab w:val="left" w:pos="420"/>
        </w:tabs>
        <w:ind w:left="845" w:hanging="425"/>
      </w:pPr>
      <w:rPr>
        <w:rFonts w:hint="default"/>
      </w:rPr>
    </w:lvl>
  </w:abstractNum>
  <w:abstractNum w:abstractNumId="3">
    <w:nsid w:val="3048DE19"/>
    <w:multiLevelType w:val="singleLevel"/>
    <w:tmpl w:val="3048DE19"/>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26"/>
    <w:footnote w:id="2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7F"/>
    <w:rsid w:val="000B3D3B"/>
    <w:rsid w:val="000E42C4"/>
    <w:rsid w:val="00173354"/>
    <w:rsid w:val="001817DB"/>
    <w:rsid w:val="00286A3B"/>
    <w:rsid w:val="00395090"/>
    <w:rsid w:val="003D7409"/>
    <w:rsid w:val="00427B81"/>
    <w:rsid w:val="00443277"/>
    <w:rsid w:val="004C5EB4"/>
    <w:rsid w:val="006401F3"/>
    <w:rsid w:val="006F082B"/>
    <w:rsid w:val="00767F63"/>
    <w:rsid w:val="007A2597"/>
    <w:rsid w:val="00830B21"/>
    <w:rsid w:val="008555F9"/>
    <w:rsid w:val="008652EB"/>
    <w:rsid w:val="008E4BA2"/>
    <w:rsid w:val="00916F91"/>
    <w:rsid w:val="00A50629"/>
    <w:rsid w:val="00AD3145"/>
    <w:rsid w:val="00BB2C98"/>
    <w:rsid w:val="00BD019C"/>
    <w:rsid w:val="00C3367F"/>
    <w:rsid w:val="00C630A4"/>
    <w:rsid w:val="00CF3E4F"/>
    <w:rsid w:val="00D46C89"/>
    <w:rsid w:val="00D670A2"/>
    <w:rsid w:val="00E742E6"/>
    <w:rsid w:val="00EE2D1F"/>
    <w:rsid w:val="00F4584E"/>
    <w:rsid w:val="00F82E73"/>
    <w:rsid w:val="00FA7BC1"/>
    <w:rsid w:val="01533B07"/>
    <w:rsid w:val="031C07A5"/>
    <w:rsid w:val="06255BC2"/>
    <w:rsid w:val="094E3682"/>
    <w:rsid w:val="15340171"/>
    <w:rsid w:val="16D176F4"/>
    <w:rsid w:val="1A871F5C"/>
    <w:rsid w:val="1AEB2ADF"/>
    <w:rsid w:val="1B7E5FBE"/>
    <w:rsid w:val="1C88406A"/>
    <w:rsid w:val="1F3B1B69"/>
    <w:rsid w:val="21325ABC"/>
    <w:rsid w:val="239F5928"/>
    <w:rsid w:val="26926D97"/>
    <w:rsid w:val="28B766F6"/>
    <w:rsid w:val="2B5D1E7B"/>
    <w:rsid w:val="34A2025B"/>
    <w:rsid w:val="34C43D0A"/>
    <w:rsid w:val="3527393B"/>
    <w:rsid w:val="353C420B"/>
    <w:rsid w:val="3751774D"/>
    <w:rsid w:val="39EB0A2C"/>
    <w:rsid w:val="3CF955DB"/>
    <w:rsid w:val="3DD32530"/>
    <w:rsid w:val="3DF30F50"/>
    <w:rsid w:val="3F152F5D"/>
    <w:rsid w:val="4213656E"/>
    <w:rsid w:val="44AD4ADC"/>
    <w:rsid w:val="46A60241"/>
    <w:rsid w:val="48A162BE"/>
    <w:rsid w:val="48A85F90"/>
    <w:rsid w:val="48F74FD9"/>
    <w:rsid w:val="4B9C11B2"/>
    <w:rsid w:val="4D8F592B"/>
    <w:rsid w:val="4D9B1658"/>
    <w:rsid w:val="521C79A8"/>
    <w:rsid w:val="52C673B2"/>
    <w:rsid w:val="545A11DC"/>
    <w:rsid w:val="577C5600"/>
    <w:rsid w:val="5B6BA06D"/>
    <w:rsid w:val="5CE368F9"/>
    <w:rsid w:val="5DDF5128"/>
    <w:rsid w:val="5E8923FC"/>
    <w:rsid w:val="5F9C6AF4"/>
    <w:rsid w:val="604C42C0"/>
    <w:rsid w:val="619A4B2C"/>
    <w:rsid w:val="633F5AA5"/>
    <w:rsid w:val="64173087"/>
    <w:rsid w:val="66EA76BB"/>
    <w:rsid w:val="6A350C4E"/>
    <w:rsid w:val="6E79761B"/>
    <w:rsid w:val="6ED251E8"/>
    <w:rsid w:val="72166353"/>
    <w:rsid w:val="76DC0CC3"/>
    <w:rsid w:val="77EF1E59"/>
    <w:rsid w:val="79643252"/>
    <w:rsid w:val="7A7FAD88"/>
    <w:rsid w:val="7B0E336E"/>
    <w:rsid w:val="7BC20B48"/>
    <w:rsid w:val="7C792C1C"/>
    <w:rsid w:val="7FAB1A76"/>
    <w:rsid w:val="F5FD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outlineLvl w:val="0"/>
    </w:pPr>
    <w:rPr>
      <w:rFonts w:ascii="黑体" w:hAnsi="黑体" w:eastAsia="黑体" w:cs="黑体"/>
      <w:sz w:val="32"/>
      <w:szCs w:val="32"/>
    </w:rPr>
  </w:style>
  <w:style w:type="paragraph" w:styleId="3">
    <w:name w:val="heading 2"/>
    <w:basedOn w:val="1"/>
    <w:next w:val="1"/>
    <w:unhideWhenUsed/>
    <w:qFormat/>
    <w:uiPriority w:val="0"/>
    <w:pPr>
      <w:adjustRightInd w:val="0"/>
      <w:snapToGrid w:val="0"/>
      <w:spacing w:line="360" w:lineRule="auto"/>
      <w:ind w:firstLine="640" w:firstLineChars="200"/>
      <w:outlineLvl w:val="1"/>
    </w:pPr>
    <w:rPr>
      <w:rFonts w:ascii="楷体" w:hAnsi="楷体" w:eastAsia="楷体" w:cs="仿宋"/>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caption"/>
    <w:basedOn w:val="1"/>
    <w:next w:val="1"/>
    <w:semiHidden/>
    <w:unhideWhenUsed/>
    <w:qFormat/>
    <w:uiPriority w:val="0"/>
    <w:rPr>
      <w:rFonts w:ascii="Times New Roman" w:hAnsi="Times New Roman" w:eastAsia="黑体"/>
      <w:sz w:val="28"/>
      <w:szCs w:val="28"/>
    </w:rPr>
  </w:style>
  <w:style w:type="paragraph" w:styleId="6">
    <w:name w:val="annotation text"/>
    <w:basedOn w:val="1"/>
    <w:link w:val="20"/>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annotation subject"/>
    <w:basedOn w:val="6"/>
    <w:next w:val="6"/>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paragraph" w:customStyle="1" w:styleId="17">
    <w:name w:val="表1"/>
    <w:basedOn w:val="1"/>
    <w:qFormat/>
    <w:uiPriority w:val="0"/>
    <w:pPr>
      <w:wordWrap w:val="0"/>
      <w:jc w:val="center"/>
      <w:outlineLvl w:val="3"/>
    </w:pPr>
    <w:rPr>
      <w:rFonts w:ascii="Times New Roman" w:hAnsi="Times New Roman" w:eastAsia="黑体" w:cs="Times New Roman"/>
      <w:sz w:val="28"/>
      <w:szCs w:val="28"/>
    </w:rPr>
  </w:style>
  <w:style w:type="paragraph" w:customStyle="1" w:styleId="18">
    <w:name w:val="黑体三号"/>
    <w:basedOn w:val="1"/>
    <w:qFormat/>
    <w:uiPriority w:val="0"/>
    <w:pPr>
      <w:wordWrap w:val="0"/>
      <w:ind w:firstLine="640" w:firstLineChars="200"/>
      <w:outlineLvl w:val="0"/>
    </w:pPr>
    <w:rPr>
      <w:rFonts w:ascii="Times New Roman" w:hAnsi="Times New Roman" w:eastAsia="黑体" w:cs="Times New Roman"/>
      <w:sz w:val="32"/>
      <w:szCs w:val="32"/>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3"/>
    <w:link w:val="6"/>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qFormat/>
    <w:uiPriority w:val="0"/>
    <w:rPr>
      <w:rFonts w:asciiTheme="minorHAnsi" w:hAnsiTheme="minorHAnsi" w:eastAsiaTheme="minorEastAsia" w:cstheme="minorBidi"/>
      <w:b/>
      <w:bCs/>
      <w:kern w:val="2"/>
      <w:sz w:val="21"/>
      <w:szCs w:val="24"/>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contentTypeName="WBDocument" contentTypeScope="" versionID="793720ccac36104286da29796a69d008" contentTypeDescription="" _="" contentTypeVersion="21" contentTypeID="0x010100F4C63C3BD852AE468EAEFD0E6C57C64F02008C015598D0747D4283BB1F9D49ADADC6">
  <xsd:schema xmlns:ma="http://schemas.microsoft.com/office/2006/metadata/properties/metaAttributes" xmlns:xsd="http://www.w3.org/2001/XMLSchema" fieldsID="0b45970f5a227ce107450d300e422142" _="" ma:root="true" targetNamespace="http://schemas.microsoft.com/office/2006/metadata/properties">
    <xsd:import xmlns:xsd="http://www.w3.org/2001/XMLSchema" namespace="3e02667f-0271-471b-bd6e-11a2e16def1d"/>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3:WBDocs_Document_Date" minOccurs="0"/>
                <xsd:element xmlns:xsd="http://www.w3.org/2001/XMLSchema" ref="ns3:WBDocs_Information_Classification"/>
                <xsd:element xmlns:xsd="http://www.w3.org/2001/XMLSchema" ref="ns3:TaxCatchAll" minOccurs="0"/>
                <xsd:element xmlns:xsd="http://www.w3.org/2001/XMLSchema" ref="ns3:TaxCatchAllLabel" minOccurs="0"/>
                <xsd:element xmlns:xsd="http://www.w3.org/2001/XMLSchema" ref="ns3:_dlc_DocId" minOccurs="0"/>
                <xsd:element xmlns:xsd="http://www.w3.org/2001/XMLSchema" ref="ns3:_dlc_DocIdUrl" minOccurs="0"/>
                <xsd:element xmlns:xsd="http://www.w3.org/2001/XMLSchema" ref="ns3:_dlc_DocIdPersistId" minOccurs="0"/>
                <xsd:element xmlns:xsd="http://www.w3.org/2001/XMLSchema" ref="ns3:WBDocs_Access_To_Info_Exception" minOccurs="0"/>
                <xsd:element xmlns:xsd="http://www.w3.org/2001/XMLSchema" ref="ns3:o1cb080a3dca4eb8a0fd03c7cc8bf8f7" minOccurs="0"/>
                <xsd:element xmlns:xsd="http://www.w3.org/2001/XMLSchema" ref="ns3:i008215bacac45029ee8cafff4c8e93b" minOccurs="0"/>
                <xsd:element xmlns:xsd="http://www.w3.org/2001/XMLSchema" ref="ns3:OneCMS_Subcategory" minOccurs="0"/>
                <xsd:element xmlns:xsd="http://www.w3.org/2001/XMLSchema" ref="ns3:OneCMS_Category" minOccurs="0"/>
                <xsd:element xmlns:xsd="http://www.w3.org/2001/XMLSchema" ref="ns3:Abstract" minOccurs="0"/>
              </xsd:all>
            </xsd:complexType>
          </xsd:element>
        </xsd:sequence>
      </xsd:complexType>
    </xsd:element>
  </xsd:schema>
  <xsd:schema xmlns:xsd="http://www.w3.org/2001/XMLSchema" elementFormDefault="qualified" targetNamespace="3e02667f-0271-471b-bd6e-11a2e16def1d">
    <xsd:import xmlns:xsd="http://www.w3.org/2001/XMLSchema" namespace="http://schemas.microsoft.com/office/2006/documentManagement/types"/>
    <xsd:import xmlns:xsd="http://www.w3.org/2001/XMLSchema" namespace="http://schemas.microsoft.com/office/infopath/2007/PartnerControls"/>
    <xsd:element xmlns:ma="http://schemas.microsoft.com/office/2006/metadata/properties/metaAttributes" xmlns:xsd="http://www.w3.org/2001/XMLSchema" ma:format="DateTime" name="WBDocs_Document_Date" ma:default="[today]" readOnly="false" nillable="true" ma:internalName="WBDocs_Document_Date" ma:displayName="Document Date" ma:index="3">
      <xsd:simpleType xmlns:xsd="http://www.w3.org/2001/XMLSchema">
        <xsd:restriction xmlns:xsd="http://www.w3.org/2001/XMLSchema" base="dms:DateTime"/>
      </xsd:simpleType>
    </xsd:element>
    <xsd:element xmlns:ma="http://schemas.microsoft.com/office/2006/metadata/properties/metaAttributes" xmlns:xsd="http://www.w3.org/2001/XMLSchema" ma:format="Dropdown" name="WBDocs_Information_Classification" ma:default="Official Use Only" readOnly="false" ma:internalName="WBDocs_Information_Classification" ma:displayName="Information Classification" ma:index="4">
      <xsd:simpleType xmlns:xsd="http://www.w3.org/2001/XMLSchema">
        <xsd:restriction xmlns:xsd="http://www.w3.org/2001/XMLSchema" base="dms:Choice">
          <xsd:enumeration xmlns:xsd="http://www.w3.org/2001/XMLSchema" value="Public"/>
          <xsd:enumeration xmlns:xsd="http://www.w3.org/2001/XMLSchema" value="Official Use Only"/>
          <xsd:enumeration xmlns:xsd="http://www.w3.org/2001/XMLSchema" value="Confidential"/>
          <xsd:enumeration xmlns:xsd="http://www.w3.org/2001/XMLSchema" value="Strictly Confidential"/>
        </xsd:restriction>
      </xsd:simpleType>
    </xsd:element>
    <xsd:element xmlns:ma="http://schemas.microsoft.com/office/2006/metadata/properties/metaAttributes" xmlns:xsd="http://www.w3.org/2001/XMLSchema" ma:web="55412a85-6e69-42a4-8c20-5128caeef093" name="TaxCatchAll" ma:hidden="true" showField="CatchAllData" ma:list="{16aa8994-a05b-49f1-92e2-ade3831271c5}" nillable="true" ma:internalName="TaxCatchAll" ma:displayName="Taxonomy Catch All Column" ma:index="6">
      <xsd:complexType xmlns:xsd="http://www.w3.org/2001/XMLSchema">
        <xsd:complexContent xmlns:xsd="http://www.w3.org/2001/XMLSchema">
          <xsd:extension xmlns:xsd="http://www.w3.org/2001/XMLSchema" base="dms:MultiChoiceLookup">
            <xsd:sequence xmlns:xsd="http://www.w3.org/2001/XMLSchema">
              <xsd:element xmlns:xsd="http://www.w3.org/2001/XMLSchema" name="Value" nillable="true" maxOccurs="unbounded" minOccurs="0" type="dms:Lookup"/>
            </xsd:sequence>
          </xsd:extension>
        </xsd:complexContent>
      </xsd:complexType>
    </xsd:element>
    <xsd:element xmlns:ma="http://schemas.microsoft.com/office/2006/metadata/properties/metaAttributes" xmlns:xsd="http://www.w3.org/2001/XMLSchema" ma:web="55412a85-6e69-42a4-8c20-5128caeef093" name="TaxCatchAllLabel" readOnly="true" ma:hidden="true" ma:list="{16aa8994-a05b-49f1-92e2-ade3831271c5}" ma:showField="CatchAllDataLabel" nillable="true" ma:internalName="TaxCatchAllLabel" ma:displayName="Taxonomy Catch All Column1" ma:index="7">
      <xsd:complexType xmlns:xsd="http://www.w3.org/2001/XMLSchema">
        <xsd:complexContent xmlns:xsd="http://www.w3.org/2001/XMLSchema">
          <xsd:extension xmlns:xsd="http://www.w3.org/2001/XMLSchema" base="dms:MultiChoiceLookup">
            <xsd:sequence xmlns:xsd="http://www.w3.org/2001/XMLSchema">
              <xsd:element xmlns:xsd="http://www.w3.org/2001/XMLSchema" name="Value" nillable="true" maxOccurs="unbounded" minOccurs="0" type="dms:Lookup"/>
            </xsd:sequence>
          </xsd:extension>
        </xsd:complexContent>
      </xsd:complexType>
    </xsd:element>
    <xsd:element xmlns:ma="http://schemas.microsoft.com/office/2006/metadata/properties/metaAttributes" xmlns:xsd="http://www.w3.org/2001/XMLSchema" name="_dlc_DocId" readOnly="true" nillable="true" ma:internalName="_dlc_DocId" ma:displayName="Document ID Value" ma:description="The value of the document ID assigned to this item." ma:index="10">
      <xsd:simpleType xmlns:xsd="http://www.w3.org/2001/XMLSchema">
        <xsd:restriction xmlns:xsd="http://www.w3.org/2001/XMLSchema" base="dms:Text"/>
      </xsd:simpleType>
    </xsd:element>
    <xsd:element xmlns:ma="http://schemas.microsoft.com/office/2006/metadata/properties/metaAttributes" xmlns:xsd="http://www.w3.org/2001/XMLSchema" name="_dlc_DocIdUrl" readOnly="true" ma:hidden="true" nillable="true" ma:internalName="_dlc_DocIdUrl" ma:displayName="Document ID" ma:description="Permanent link to this document." ma:index="11">
      <xsd:complexType xmlns:xsd="http://www.w3.org/2001/XMLSchema">
        <xsd:complexContent xmlns:xsd="http://www.w3.org/2001/XMLSchema">
          <xsd:extension xmlns:xsd="http://www.w3.org/2001/XMLSchema" base="dms:URL">
            <xsd:sequence xmlns:xsd="http://www.w3.org/2001/XMLSchema">
              <xsd:element xmlns:xsd="http://www.w3.org/2001/XMLSchema" name="Url" nillable="true" minOccurs="0" type="dms:ValidUrl"/>
              <xsd:element xmlns:xsd="http://www.w3.org/2001/XMLSchema" name="Description" nillable="true" type="xsd:string"/>
            </xsd:sequence>
          </xsd:extension>
        </xsd:complexContent>
      </xsd:complexType>
    </xsd:element>
    <xsd:element xmlns:ma="http://schemas.microsoft.com/office/2006/metadata/properties/metaAttributes" xmlns:xsd="http://www.w3.org/2001/XMLSchema" name="_dlc_DocIdPersistId" readOnly="true" ma:hidden="true" nillable="true" ma:internalName="_dlc_DocIdPersistId" ma:displayName="Persist ID" ma:description="Keep ID on add." ma:index="12">
      <xsd:simpleType xmlns:xsd="http://www.w3.org/2001/XMLSchema">
        <xsd:restriction xmlns:xsd="http://www.w3.org/2001/XMLSchema" base="dms:Boolean"/>
      </xsd:simpleType>
    </xsd:element>
    <xsd:element xmlns:ma="http://schemas.microsoft.com/office/2006/metadata/properties/metaAttributes" xmlns:xsd="http://www.w3.org/2001/XMLSchema" default="12. Not Assessed" ma:format="Dropdown" name="WBDocs_Access_To_Info_Exception" nillable="true" ma:internalName="WBDocs_Access_To_Info_Exception" ma:displayName="Access to Info Exception" ma:index="13">
      <xsd:simpleType xmlns:xsd="http://www.w3.org/2001/XMLSchema">
        <xsd:restriction xmlns:xsd="http://www.w3.org/2001/XMLSchema" base="dms:Choice">
          <xsd:enumeration xmlns:xsd="http://www.w3.org/2001/XMLSchema" value="1. Personal"/>
          <xsd:enumeration xmlns:xsd="http://www.w3.org/2001/XMLSchema" value="2. Executive Director's Communications"/>
          <xsd:enumeration xmlns:xsd="http://www.w3.org/2001/XMLSchema" value="3. Board Ethics Committee"/>
          <xsd:enumeration xmlns:xsd="http://www.w3.org/2001/XMLSchema" value="4. Attorney-Client Privilege"/>
          <xsd:enumeration xmlns:xsd="http://www.w3.org/2001/XMLSchema" value="5. Security &amp; Safety"/>
          <xsd:enumeration xmlns:xsd="http://www.w3.org/2001/XMLSchema" value="6. Other Disclosure Regimes"/>
          <xsd:enumeration xmlns:xsd="http://www.w3.org/2001/XMLSchema" value="7. Client / Third Party Confidence"/>
          <xsd:enumeration xmlns:xsd="http://www.w3.org/2001/XMLSchema" value="8. Corporate/Administrative"/>
          <xsd:enumeration xmlns:xsd="http://www.w3.org/2001/XMLSchema" value="9. Deliberative"/>
          <xsd:enumeration xmlns:xsd="http://www.w3.org/2001/XMLSchema" value="10a-c. Financial - Forecast/Analysis/Transactions"/>
          <xsd:enumeration xmlns:xsd="http://www.w3.org/2001/XMLSchema" value="10d. Financial - Banking &amp; Billing"/>
          <xsd:enumeration xmlns:xsd="http://www.w3.org/2001/XMLSchema" value="11. Bank's Prerogative to Restrict"/>
          <xsd:enumeration xmlns:xsd="http://www.w3.org/2001/XMLSchema" value="12. Not Assessed"/>
          <xsd:enumeration xmlns:xsd="http://www.w3.org/2001/XMLSchema" value="13. Not Applicable"/>
          <xsd:enumeration xmlns:xsd="http://www.w3.org/2001/XMLSchema" value="Unknown Policy Restriction"/>
        </xsd:restriction>
      </xsd:simpleType>
    </xsd:element>
    <xsd:element xmlns:xsd="http://www.w3.org/2001/XMLSchema" xmlns:ma="http://schemas.microsoft.com/office/2006/metadata/properties/metaAttributes" ma:isKeyword="false" ma:index="15" ma:taxonomyFieldName="WBDocs_Local_Document_Type" ma:fieldId="{81cb080a-3dca-4eb8-a0fd-03c7cc8bf8f7}" ma:anchorId="00000000-0000-0000-0000-000000000000" ma:internalName="o1cb080a3dca4eb8a0fd03c7cc8bf8f7" ma:termSetId="ec380048-e675-43f7-9194-41567bcb0af6" name="o1cb080a3dca4eb8a0fd03c7cc8bf8f7" nillable="true" ma:taxonomyMulti="true" ma:displayName="Local Document Type" ma:taxonomy="true" ma:open="false" ma:default="" readOnly="false" ma:sspId="2a6c10d7-b926-4fc0-945e-3cbf5049f6bd">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isKeyword="false" ma:index="17" ma:taxonomyFieldName="WBDocs_Originating_Unit" ma:fieldId="{2008215b-acac-4502-9ee8-cafff4c8e93b}" ma:anchorId="00000000-0000-0000-0000-000000000000" ma:internalName="i008215bacac45029ee8cafff4c8e93b" ma:termSetId="806c0147-d557-463e-8bb0-983f4f318bd5" name="i008215bacac45029ee8cafff4c8e93b" nillable="true" ma:taxonomyMulti="true" ma:displayName="Originating unit" ma:taxonomy="true" ma:open="false" ma:default="5;#EACCF - WB Off: Beijing|2435c311-dfa9-4ae1-8e70-c51f57abf81a" readOnly="false" ma:sspId="2a6c10d7-b926-4fc0-945e-3cbf5049f6bd">
      <xsd:complexType xmlns:xsd="http://www.w3.org/2001/XMLSchema">
        <xsd:sequence xmlns:xsd="http://www.w3.org/2001/XMLSchema">
          <xsd:element xmlns:xsd="http://www.w3.org/2001/XMLSchema" ref="pc:Terms" maxOccurs="1" minOccurs="0"/>
        </xsd:sequence>
      </xsd:complexType>
    </xsd:element>
    <xsd:element xmlns:ma="http://schemas.microsoft.com/office/2006/metadata/properties/metaAttributes" xmlns:xsd="http://www.w3.org/2001/XMLSchema" name="OneCMS_Subcategory" readOnly="false" ma:hidden="true" nillable="true" ma:internalName="OneCMS_Subcategory" ma:displayName="Subcategory" ma:index="21">
      <xsd:simpleType xmlns:xsd="http://www.w3.org/2001/XMLSchema">
        <xsd:restriction xmlns:xsd="http://www.w3.org/2001/XMLSchema" base="dms:Text"/>
      </xsd:simpleType>
    </xsd:element>
    <xsd:element xmlns:ma="http://schemas.microsoft.com/office/2006/metadata/properties/metaAttributes" xmlns:xsd="http://www.w3.org/2001/XMLSchema" name="OneCMS_Category" readOnly="false" ma:hidden="true" nillable="true" ma:internalName="OneCMS_Category" ma:displayName="Category" ma:index="22">
      <xsd:simpleType xmlns:xsd="http://www.w3.org/2001/XMLSchema">
        <xsd:restriction xmlns:xsd="http://www.w3.org/2001/XMLSchema" base="dms:Text"/>
      </xsd:simpleType>
    </xsd:element>
    <xsd:element xmlns:ma="http://schemas.microsoft.com/office/2006/metadata/properties/metaAttributes" xmlns:xsd="http://www.w3.org/2001/XMLSchema" name="Abstract" readOnly="false" ma:hidden="true" nillable="true" ma:internalName="Abstract" ma:displayName="Abstract" ma:index="23">
      <xsd:simpleType xmlns:xsd="http://www.w3.org/2001/XMLSchema">
        <xsd:restriction xmlns:xsd="http://www.w3.org/2001/XMLSchema" base="dms:Note"/>
      </xsd:simpleType>
    </xsd:element>
  </xsd:schema>
  <xsd:schema xmlns:xsd="http://www.w3.org/2001/XMLSchema" elementFormDefault="qualified" blockDefault="#all" attributeFormDefault="unqualified" targetNamespace="http://schemas.openxmlformats.org/package/2006/metadata/core-properties">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name="coreProperties" type="CT_coreProperties"/>
    <xsd:complexType xmlns:xsd="http://www.w3.org/2001/XMLSchema" name="CT_coreProperties">
      <xsd:all xmlns:xsd="http://www.w3.org/2001/XMLSchema">
        <xsd:element xmlns:ma="http://schemas.microsoft.com/office/2006/metadata/properties/metaAttributes" xmlns:xsd="http://www.w3.org/2001/XMLSchema" displayName="Author" ref="dc:creator" maxOccurs="1" minOccurs="0" ma:index="2"/>
        <xsd:element xmlns:xsd="http://www.w3.org/2001/XMLSchema" ref="dcterms:created" maxOccurs="1" minOccurs="0"/>
        <xsd:element xmlns:xsd="http://www.w3.org/2001/XMLSchema" ref="dc:identifier" maxOccurs="1" minOccurs="0"/>
        <xsd:element xmlns:ma="http://schemas.microsoft.com/office/2006/metadata/properties/metaAttributes" xmlns:xsd="http://www.w3.org/2001/XMLSchema" displayName="Content Type" name="contentType" maxOccurs="1" minOccurs="0" type="xsd:string" ma:index="19"/>
        <xsd:element xmlns:ma="http://schemas.microsoft.com/office/2006/metadata/properties/metaAttributes" xmlns:xsd="http://www.w3.org/2001/XMLSchema" displayName="Title" ref="dc:title" maxOccurs="1" minOccurs="0" ma:index="1"/>
        <xsd:element xmlns:xsd="http://www.w3.org/2001/XMLSchema" ref="dc:subject" maxOccurs="1" minOccurs="0"/>
        <xsd:element xmlns:xsd="http://www.w3.org/2001/XMLSchema" ref="dc:description" maxOccurs="1" minOccurs="0"/>
        <xsd:element xmlns:xsd="http://www.w3.org/2001/XMLSchema" name="keywords" maxOccurs="1" minOccurs="0" type="xsd:string"/>
        <xsd:element xmlns:xsd="http://www.w3.org/2001/XMLSchema" ref="dc:language" maxOccurs="1" minOccurs="0"/>
        <xsd:element xmlns:xsd="http://www.w3.org/2001/XMLSchema" name="category" maxOccurs="1" minOccurs="0" type="xsd:string"/>
        <xsd:element xmlns:xsd="http://www.w3.org/2001/XMLSchema" name="version" maxOccurs="1" minOccurs="0" type="xsd:string"/>
        <xsd:element xmlns:xsd="http://www.w3.org/2001/XMLSchema" name="revision" maxOccurs="1" minOccurs="0" type="xsd:string">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name="lastModifiedBy" maxOccurs="1" minOccurs="0" type="xsd:string"/>
        <xsd:element xmlns:xsd="http://www.w3.org/2001/XMLSchema" ref="dcterms:modified" maxOccurs="1" minOccurs="0"/>
        <xsd:element xmlns:xsd="http://www.w3.org/2001/XMLSchema" name="contentStatus" maxOccurs="1" minOccurs="0" type="xsd:string"/>
      </xsd:all>
    </xsd:complexType>
  </xsd:schema>
  <xs:schema xmlns:xs="http://www.w3.org/2001/XMLSchema" elementFormDefault="qualified" attributeFormDefault="unqualified" targetNamespace="http://schemas.microsoft.com/office/infopath/2007/PartnerControls">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name="DisplayName" type="xs:string"/>
    <xs:element xmlns:xs="http://www.w3.org/2001/XMLSchema" name="AccountId" type="xs:string"/>
    <xs:element xmlns:xs="http://www.w3.org/2001/XMLSchema" name="AccountType" type="xs:string"/>
    <xs:element xmlns:xs="http://www.w3.org/2001/XMLSchema" name="BDCAssociatedEntity">
      <xs:complexType xmlns:xs="http://www.w3.org/2001/XMLSchema">
        <xs:sequence xmlns:xs="http://www.w3.org/2001/XMLSchema">
          <xs:element xmlns:xs="http://www.w3.org/2001/XMLSchema" ref="pc:BDCEntity" maxOccurs="unbounded"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name="EntityNamespace" type="xs:string"/>
    <xs:attribute xmlns:xs="http://www.w3.org/2001/XMLSchema" name="EntityName" type="xs:string"/>
    <xs:attribute xmlns:xs="http://www.w3.org/2001/XMLSchema" name="SystemInstanceName" type="xs:string"/>
    <xs:attribute xmlns:xs="http://www.w3.org/2001/XMLSchema" name="AssociationName" type="xs:string"/>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name="EntityDisplayName" type="xs:string"/>
    <xs:element xmlns:xs="http://www.w3.org/2001/XMLSchema" name="EntityInstanceReference" type="xs:string"/>
    <xs:element xmlns:xs="http://www.w3.org/2001/XMLSchema" name="EntityId1" type="xs:string"/>
    <xs:element xmlns:xs="http://www.w3.org/2001/XMLSchema" name="EntityId2" type="xs:string"/>
    <xs:element xmlns:xs="http://www.w3.org/2001/XMLSchema" name="EntityId3" type="xs:string"/>
    <xs:element xmlns:xs="http://www.w3.org/2001/XMLSchema" name="EntityId4" type="xs:string"/>
    <xs:element xmlns:xs="http://www.w3.org/2001/XMLSchema" name="EntityId5" type="xs:string"/>
    <xs:element xmlns:xs="http://www.w3.org/2001/XMLSchema" name="Terms">
      <xs:complexType xmlns:xs="http://www.w3.org/2001/XMLSchema">
        <xs:sequence xmlns:xs="http://www.w3.org/2001/XMLSchema">
          <xs:element xmlns:xs="http://www.w3.org/2001/XMLSchema" ref="pc:TermInfo" maxOccurs="unbounded"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name="TermName" type="xs:string"/>
    <xs:element xmlns:xs="http://www.w3.org/2001/XMLSchema"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mlns:xsi="http://www.w3.org/2001/XMLSchema-instance" xsi:nil="true"/>
    <WBDocs_Access_To_Info_Exception xmlns="3e02667f-0271-471b-bd6e-11a2e16def1d">12. Not Assessed</WBDocs_Access_To_Info_Exception>
    <WBDocs_Document_Date xmlns="3e02667f-0271-471b-bd6e-11a2e16def1d">2026-05-13T00:46:39+00:00</WBDocs_Document_Date>
    <TaxCatchAll xmlns="3e02667f-0271-471b-bd6e-11a2e16def1d">
      <Value xmlns="3e02667f-0271-471b-bd6e-11a2e16def1d">5</Value>
    </TaxCatchAll>
    <OneCMS_Subcategory xmlns="3e02667f-0271-471b-bd6e-11a2e16def1d" xmlns:xsi="http://www.w3.org/2001/XMLSchema-instance"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EACCF - WB Off: Beijing</TermName>
          <TermId xmlns="http://schemas.microsoft.com/office/infopath/2007/PartnerControls">2435c311-dfa9-4ae1-8e70-c51f57abf81a</TermId>
        </TermInfo>
      </Terms>
    </i008215bacac45029ee8cafff4c8e93b>
    <WBDocs_Information_Classification xmlns="3e02667f-0271-471b-bd6e-11a2e16def1d">Official Use Only</WBDocs_Information_Classification>
    <OneCMS_Category xmlns="3e02667f-0271-471b-bd6e-11a2e16def1d" xmlns:xsi="http://www.w3.org/2001/XMLSchema-instance" xsi:nil="true"/>
  </documentManagement>
</p:properties>
</file>

<file path=customXml/item4.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PreviousValue="false" ContentTypeId="0x010100F4C63C3BD852AE468EAEFD0E6C57C64F02" SourceId="2a6c10d7-b926-4fc0-945e-3cbf5049f6bd"/>
</file>

<file path=customXml/item7.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E4B0F-601D-42C9-AFF0-7B6B122445B3}">
  <ds:schemaRefs/>
</ds:datastoreItem>
</file>

<file path=customXml/itemProps3.xml><?xml version="1.0" encoding="utf-8"?>
<ds:datastoreItem xmlns:ds="http://schemas.openxmlformats.org/officeDocument/2006/customXml" ds:itemID="{5A238D94-74E0-4A24-8FF0-3F975222ECC6}">
  <ds:schemaRefs/>
</ds:datastoreItem>
</file>

<file path=customXml/itemProps4.xml><?xml version="1.0" encoding="utf-8"?>
<ds:datastoreItem xmlns:ds="http://schemas.openxmlformats.org/officeDocument/2006/customXml" ds:itemID="{43089BC0-A79B-45A8-89B0-0A60FDF5F2D6}">
  <ds:schemaRefs/>
</ds:datastoreItem>
</file>

<file path=customXml/itemProps5.xml><?xml version="1.0" encoding="utf-8"?>
<ds:datastoreItem xmlns:ds="http://schemas.openxmlformats.org/officeDocument/2006/customXml" ds:itemID="{F1744A2A-A5FA-49B6-9C73-9F12B293FBE4}">
  <ds:schemaRefs/>
</ds:datastoreItem>
</file>

<file path=customXml/itemProps6.xml><?xml version="1.0" encoding="utf-8"?>
<ds:datastoreItem xmlns:ds="http://schemas.openxmlformats.org/officeDocument/2006/customXml" ds:itemID="{B4F0932F-0D41-4690-BB0E-CF9B6401509F}">
  <ds:schemaRefs/>
</ds:datastoreItem>
</file>

<file path=customXml/itemProps7.xml><?xml version="1.0" encoding="utf-8"?>
<ds:datastoreItem xmlns:ds="http://schemas.openxmlformats.org/officeDocument/2006/customXml" ds:itemID="{8FB6A515-7151-2647-8446-9D9806521A5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1995</Words>
  <Characters>2187</Characters>
  <Lines>67</Lines>
  <Paragraphs>19</Paragraphs>
  <TotalTime>16</TotalTime>
  <ScaleCrop>false</ScaleCrop>
  <LinksUpToDate>false</LinksUpToDate>
  <CharactersWithSpaces>2195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2026-03-17T03:38:00Z</dcterms:created>
  <dc:creator>river</dc:creator>
  <cp:lastModifiedBy>lillian</cp:lastModifiedBy>
  <dcterms:modified xsi:type="dcterms:W3CDTF">2026-07-20T02:24:15Z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28F08E1B2C0348D897B2046F4DFE63D5_12</vt:lpwstr>
  </property>
  <property fmtid="{D5CDD505-2E9C-101B-9397-08002B2CF9AE}" pid="4" name="KSOTemplateDocerSaveRecord">
    <vt:lpwstr>eyJoZGlkIjoiMjIyMWMzOGE3YjUzODgxZmVkMTc5NzMzZDFlZDMyOGYiLCJ1c2VySWQiOiIyMzAzMjg4NTkifQ==</vt:lpwstr>
  </property>
  <property fmtid="{D5CDD505-2E9C-101B-9397-08002B2CF9AE}" pid="5" name="ContentTypeId">
    <vt:lpwstr>0x010100F4C63C3BD852AE468EAEFD0E6C57C64F02008C015598D0747D4283BB1F9D49ADADC6</vt:lpwstr>
  </property>
  <property fmtid="{D5CDD505-2E9C-101B-9397-08002B2CF9AE}" pid="6" name="ClassificationContentMarkingFooterShapeIds">
    <vt:lpwstr>5ad2a9a0,6b5a08e9,725feae7</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2026-05-13T14:18:30Z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54cfe276-7153-46d1-9b76-08cd6efda014</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y fmtid="{D5CDD505-2E9C-101B-9397-08002B2CF9AE}" pid="17" name="WBDocs_Local_Document_Type">
    <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WBDocs_Originating_Unit">
    <vt:lpwstr>5;#EACCF - WB Off: Beijing|2435c311-dfa9-4ae1-8e70-c51f57abf81a</vt:lpwstr>
  </property>
</Properties>
</file>