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C920C">
      <w:pPr>
        <w:widowControl/>
        <w:jc w:val="center"/>
        <w:outlineLvl w:val="0"/>
        <w:rPr>
          <w:rFonts w:ascii="Times New Roman" w:hAnsi="Times New Roman" w:eastAsia="方正小标宋简体" w:cs="Times New Roman"/>
          <w:bCs/>
          <w:sz w:val="30"/>
          <w:szCs w:val="30"/>
        </w:rPr>
      </w:pPr>
      <w:r>
        <w:rPr>
          <w:rFonts w:hint="eastAsia" w:ascii="Times New Roman" w:hAnsi="Times New Roman" w:eastAsia="方正小标宋简体" w:cs="Times New Roman"/>
          <w:bCs/>
          <w:sz w:val="30"/>
          <w:szCs w:val="30"/>
        </w:rPr>
        <w:t>世界银行</w:t>
      </w:r>
      <w:r>
        <w:rPr>
          <w:rFonts w:ascii="Times New Roman" w:hAnsi="Times New Roman" w:eastAsia="方正小标宋简体" w:cs="Times New Roman"/>
          <w:bCs/>
          <w:sz w:val="30"/>
          <w:szCs w:val="30"/>
        </w:rPr>
        <w:t xml:space="preserve"> </w:t>
      </w:r>
      <w:r>
        <w:rPr>
          <w:rFonts w:hint="eastAsia" w:ascii="Times New Roman" w:hAnsi="Times New Roman" w:eastAsia="方正小标宋简体" w:cs="Times New Roman"/>
          <w:bCs/>
          <w:sz w:val="30"/>
          <w:szCs w:val="30"/>
        </w:rPr>
        <w:t>中国市场伙伴实施基金赠款项目（</w:t>
      </w:r>
      <w:r>
        <w:rPr>
          <w:rFonts w:ascii="Times New Roman" w:hAnsi="Times New Roman" w:eastAsia="方正小标宋简体" w:cs="Times New Roman"/>
          <w:bCs/>
          <w:sz w:val="30"/>
          <w:szCs w:val="30"/>
        </w:rPr>
        <w:t>P504267</w:t>
      </w:r>
      <w:r>
        <w:rPr>
          <w:rFonts w:hint="eastAsia" w:ascii="Times New Roman" w:hAnsi="Times New Roman" w:eastAsia="方正小标宋简体" w:cs="Times New Roman"/>
          <w:bCs/>
          <w:sz w:val="30"/>
          <w:szCs w:val="30"/>
        </w:rPr>
        <w:t>）</w:t>
      </w:r>
    </w:p>
    <w:p w14:paraId="241C920D">
      <w:pPr>
        <w:widowControl/>
        <w:jc w:val="center"/>
        <w:outlineLvl w:val="0"/>
        <w:rPr>
          <w:rFonts w:ascii="Times New Roman" w:hAnsi="Times New Roman" w:eastAsia="方正小标宋简体" w:cs="Times New Roman"/>
          <w:bCs/>
          <w:sz w:val="30"/>
          <w:szCs w:val="30"/>
        </w:rPr>
      </w:pPr>
      <w:r>
        <w:rPr>
          <w:rFonts w:hint="eastAsia" w:ascii="Times New Roman" w:hAnsi="Times New Roman" w:eastAsia="方正小标宋简体" w:cs="Times New Roman"/>
          <w:bCs/>
          <w:sz w:val="30"/>
          <w:szCs w:val="30"/>
        </w:rPr>
        <w:t>“加强国家</w:t>
      </w:r>
      <w:r>
        <w:rPr>
          <w:rFonts w:ascii="Times New Roman" w:hAnsi="Times New Roman" w:eastAsia="方正小标宋简体" w:cs="Times New Roman"/>
          <w:bCs/>
          <w:sz w:val="30"/>
          <w:szCs w:val="30"/>
        </w:rPr>
        <w:t>ETS</w:t>
      </w:r>
      <w:r>
        <w:rPr>
          <w:rFonts w:hint="eastAsia" w:ascii="Times New Roman" w:hAnsi="Times New Roman" w:eastAsia="方正小标宋简体" w:cs="Times New Roman"/>
          <w:bCs/>
          <w:sz w:val="30"/>
          <w:szCs w:val="30"/>
        </w:rPr>
        <w:t>配额管理及</w:t>
      </w:r>
      <w:r>
        <w:rPr>
          <w:rFonts w:ascii="Times New Roman" w:hAnsi="Times New Roman" w:eastAsia="方正小标宋简体" w:cs="Times New Roman"/>
          <w:bCs/>
          <w:sz w:val="30"/>
          <w:szCs w:val="30"/>
        </w:rPr>
        <w:t>MRV</w:t>
      </w:r>
      <w:r>
        <w:rPr>
          <w:rFonts w:hint="eastAsia" w:ascii="Times New Roman" w:hAnsi="Times New Roman" w:eastAsia="方正小标宋简体" w:cs="Times New Roman"/>
          <w:bCs/>
          <w:sz w:val="30"/>
          <w:szCs w:val="30"/>
        </w:rPr>
        <w:t>体系优化行业活动</w:t>
      </w:r>
    </w:p>
    <w:p w14:paraId="241C920E">
      <w:pPr>
        <w:widowControl/>
        <w:jc w:val="center"/>
        <w:outlineLvl w:val="0"/>
        <w:rPr>
          <w:rFonts w:ascii="Times New Roman" w:hAnsi="Times New Roman" w:eastAsia="方正小标宋简体" w:cs="Times New Roman"/>
          <w:bCs/>
          <w:sz w:val="30"/>
          <w:szCs w:val="30"/>
        </w:rPr>
      </w:pPr>
      <w:r>
        <w:rPr>
          <w:rFonts w:ascii="Times New Roman" w:hAnsi="Times New Roman" w:eastAsia="方正小标宋简体" w:cs="Times New Roman"/>
          <w:bCs/>
          <w:sz w:val="30"/>
          <w:szCs w:val="30"/>
        </w:rPr>
        <w:t>-</w:t>
      </w:r>
      <w:r>
        <w:rPr>
          <w:rFonts w:hint="eastAsia" w:ascii="Times New Roman" w:hAnsi="Times New Roman" w:eastAsia="方正小标宋简体" w:cs="Times New Roman"/>
          <w:bCs/>
          <w:sz w:val="30"/>
          <w:szCs w:val="30"/>
        </w:rPr>
        <w:t>发电行业”咨询服务</w:t>
      </w:r>
    </w:p>
    <w:p w14:paraId="241C920F">
      <w:pPr>
        <w:jc w:val="center"/>
        <w:rPr>
          <w:rFonts w:ascii="Times New Roman" w:hAnsi="Times New Roman" w:eastAsia="方正小标宋简体" w:cs="Times New Roman"/>
          <w:sz w:val="32"/>
          <w:szCs w:val="32"/>
        </w:rPr>
      </w:pPr>
      <w:r>
        <w:rPr>
          <w:rFonts w:hint="eastAsia" w:ascii="Times New Roman" w:hAnsi="Times New Roman" w:eastAsia="方正小标宋简体" w:cs="Times New Roman"/>
          <w:bCs/>
          <w:sz w:val="30"/>
          <w:szCs w:val="30"/>
        </w:rPr>
        <w:t>工作任务大纲（</w:t>
      </w:r>
      <w:r>
        <w:rPr>
          <w:rFonts w:ascii="Times New Roman" w:hAnsi="Times New Roman" w:eastAsia="方正小标宋简体" w:cs="Times New Roman"/>
          <w:bCs/>
          <w:sz w:val="30"/>
          <w:szCs w:val="30"/>
        </w:rPr>
        <w:t>PMI-5-CQS</w:t>
      </w:r>
      <w:r>
        <w:rPr>
          <w:rFonts w:hint="eastAsia" w:ascii="Times New Roman" w:hAnsi="Times New Roman" w:eastAsia="方正小标宋简体" w:cs="Times New Roman"/>
          <w:bCs/>
          <w:sz w:val="30"/>
          <w:szCs w:val="30"/>
        </w:rPr>
        <w:t>）</w:t>
      </w:r>
    </w:p>
    <w:p w14:paraId="241C9210">
      <w:pPr>
        <w:jc w:val="center"/>
        <w:rPr>
          <w:rFonts w:ascii="Times New Roman" w:hAnsi="Times New Roman" w:eastAsia="宋体" w:cs="Times New Roman"/>
          <w:b/>
          <w:bCs/>
          <w:sz w:val="24"/>
          <w:szCs w:val="28"/>
        </w:rPr>
      </w:pPr>
    </w:p>
    <w:p w14:paraId="241C9211">
      <w:pPr>
        <w:pStyle w:val="3"/>
        <w:keepNext w:val="0"/>
        <w:keepLines w:val="0"/>
        <w:snapToGrid/>
        <w:spacing w:before="0" w:after="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一、项目背景和意义</w:t>
      </w:r>
    </w:p>
    <w:p w14:paraId="241C9212">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为推动中国碳排放权交易市场与温室气体自愿减排交易市场的高质量发展及不断完善，世界银行与生态环境部合作开展“中国市场伙伴实施基金项目”活动。该项目旨在支持中国国家层面碳定价工具的优化设计、实施与管理能力提升，项目将优化完善全国碳排放权交易市场（</w:t>
      </w:r>
      <w:r>
        <w:rPr>
          <w:rFonts w:ascii="Times New Roman" w:hAnsi="Times New Roman" w:eastAsia="仿宋" w:cs="Times New Roman"/>
          <w:sz w:val="28"/>
          <w:szCs w:val="28"/>
        </w:rPr>
        <w:t>ETS</w:t>
      </w:r>
      <w:r>
        <w:rPr>
          <w:rFonts w:hint="eastAsia" w:ascii="Times New Roman" w:hAnsi="Times New Roman" w:eastAsia="仿宋" w:cs="Times New Roman"/>
          <w:sz w:val="28"/>
          <w:szCs w:val="28"/>
        </w:rPr>
        <w:t>）与国家核证自愿减排量（</w:t>
      </w:r>
      <w:r>
        <w:rPr>
          <w:rFonts w:ascii="Times New Roman" w:hAnsi="Times New Roman" w:eastAsia="仿宋" w:cs="Times New Roman"/>
          <w:sz w:val="28"/>
          <w:szCs w:val="28"/>
        </w:rPr>
        <w:t>CCER</w:t>
      </w:r>
      <w:r>
        <w:rPr>
          <w:rFonts w:hint="eastAsia" w:ascii="Times New Roman" w:hAnsi="Times New Roman" w:eastAsia="仿宋" w:cs="Times New Roman"/>
          <w:sz w:val="28"/>
          <w:szCs w:val="28"/>
        </w:rPr>
        <w:t>）体系，开展国内碳市场与《巴黎协定》第六条下国际碳交易实现衔接兼容的研究，分析引入碳税以补充</w:t>
      </w:r>
      <w:r>
        <w:rPr>
          <w:rFonts w:ascii="Times New Roman" w:hAnsi="Times New Roman" w:eastAsia="仿宋" w:cs="Times New Roman"/>
          <w:sz w:val="28"/>
          <w:szCs w:val="28"/>
        </w:rPr>
        <w:t>ETS</w:t>
      </w:r>
      <w:r>
        <w:rPr>
          <w:rFonts w:hint="eastAsia" w:ascii="Times New Roman" w:hAnsi="Times New Roman" w:eastAsia="仿宋" w:cs="Times New Roman"/>
          <w:sz w:val="28"/>
          <w:szCs w:val="28"/>
        </w:rPr>
        <w:t>的可行性等。生态环境部对外合作与交流中心（</w:t>
      </w:r>
      <w:r>
        <w:rPr>
          <w:rFonts w:ascii="Times New Roman" w:hAnsi="Times New Roman" w:eastAsia="仿宋" w:cs="Times New Roman"/>
          <w:sz w:val="28"/>
          <w:szCs w:val="28"/>
        </w:rPr>
        <w:t>FECO</w:t>
      </w:r>
      <w:r>
        <w:rPr>
          <w:rFonts w:hint="eastAsia" w:ascii="Times New Roman" w:hAnsi="Times New Roman" w:eastAsia="仿宋" w:cs="Times New Roman"/>
          <w:sz w:val="28"/>
          <w:szCs w:val="28"/>
        </w:rPr>
        <w:t>）受委托作为项目管理办公室（</w:t>
      </w:r>
      <w:r>
        <w:rPr>
          <w:rFonts w:ascii="Times New Roman" w:hAnsi="Times New Roman" w:eastAsia="仿宋" w:cs="Times New Roman"/>
          <w:sz w:val="28"/>
          <w:szCs w:val="28"/>
        </w:rPr>
        <w:t>PMO</w:t>
      </w:r>
      <w:r>
        <w:rPr>
          <w:rFonts w:hint="eastAsia" w:ascii="Times New Roman" w:hAnsi="Times New Roman" w:eastAsia="仿宋" w:cs="Times New Roman"/>
          <w:sz w:val="28"/>
          <w:szCs w:val="28"/>
        </w:rPr>
        <w:t>），负责统筹项目实施工作。</w:t>
      </w:r>
    </w:p>
    <w:p w14:paraId="44C6C4B6">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中国的碳市场由全国碳排放权交易市场和全国温室气体自愿减排交易市场组成，共同构成全国碳市场体系。</w:t>
      </w:r>
      <w:r>
        <w:rPr>
          <w:rFonts w:hint="eastAsia" w:ascii="Times New Roman" w:hAnsi="Times New Roman" w:eastAsia="仿宋" w:cs="Times New Roman"/>
          <w:sz w:val="28"/>
          <w:szCs w:val="28"/>
        </w:rPr>
        <w:t>作为全球覆盖排放量最大的碳市场，</w:t>
      </w:r>
      <w:r>
        <w:rPr>
          <w:rFonts w:ascii="Times New Roman" w:hAnsi="Times New Roman" w:eastAsia="仿宋" w:cs="Times New Roman"/>
          <w:sz w:val="28"/>
          <w:szCs w:val="28"/>
        </w:rPr>
        <w:t>全国碳排放权交易市场</w:t>
      </w:r>
      <w:r>
        <w:rPr>
          <w:rFonts w:hint="eastAsia" w:ascii="Times New Roman" w:hAnsi="Times New Roman" w:eastAsia="仿宋" w:cs="Times New Roman"/>
          <w:sz w:val="28"/>
          <w:szCs w:val="28"/>
        </w:rPr>
        <w:t>自</w:t>
      </w:r>
      <w:r>
        <w:rPr>
          <w:rFonts w:ascii="Times New Roman" w:hAnsi="Times New Roman" w:eastAsia="仿宋" w:cs="Times New Roman"/>
          <w:sz w:val="28"/>
          <w:szCs w:val="28"/>
        </w:rPr>
        <w:t>2021</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7</w:t>
      </w:r>
      <w:r>
        <w:rPr>
          <w:rFonts w:hint="eastAsia" w:ascii="Times New Roman" w:hAnsi="Times New Roman" w:eastAsia="仿宋" w:cs="Times New Roman"/>
          <w:sz w:val="28"/>
          <w:szCs w:val="28"/>
        </w:rPr>
        <w:t>月</w:t>
      </w:r>
      <w:r>
        <w:rPr>
          <w:rFonts w:ascii="Times New Roman" w:hAnsi="Times New Roman" w:eastAsia="仿宋" w:cs="Times New Roman"/>
          <w:sz w:val="28"/>
          <w:szCs w:val="28"/>
        </w:rPr>
        <w:t>以发电行业为突破口启动</w:t>
      </w:r>
      <w:r>
        <w:rPr>
          <w:rFonts w:hint="eastAsia" w:ascii="Times New Roman" w:hAnsi="Times New Roman" w:eastAsia="仿宋" w:cs="Times New Roman"/>
          <w:sz w:val="28"/>
          <w:szCs w:val="28"/>
        </w:rPr>
        <w:t>上线交易</w:t>
      </w:r>
      <w:r>
        <w:rPr>
          <w:rFonts w:ascii="Times New Roman" w:hAnsi="Times New Roman" w:eastAsia="仿宋" w:cs="Times New Roman"/>
          <w:sz w:val="28"/>
          <w:szCs w:val="28"/>
        </w:rPr>
        <w:t>，经过</w:t>
      </w:r>
      <w:r>
        <w:rPr>
          <w:rFonts w:hint="eastAsia" w:ascii="Times New Roman" w:hAnsi="Times New Roman" w:eastAsia="仿宋" w:cs="Times New Roman"/>
          <w:sz w:val="28"/>
          <w:szCs w:val="28"/>
        </w:rPr>
        <w:t>数</w:t>
      </w:r>
      <w:r>
        <w:rPr>
          <w:rFonts w:ascii="Times New Roman" w:hAnsi="Times New Roman" w:eastAsia="仿宋" w:cs="Times New Roman"/>
          <w:sz w:val="28"/>
          <w:szCs w:val="28"/>
        </w:rPr>
        <w:t>个履约周期的建设，总体运行平稳，制度规范日趋完善、碳排放数据质量改善、价格发现机制作用日益显现</w:t>
      </w:r>
      <w:r>
        <w:rPr>
          <w:rFonts w:hint="eastAsia" w:ascii="Times New Roman" w:hAnsi="Times New Roman" w:eastAsia="仿宋" w:cs="Times New Roman"/>
          <w:sz w:val="28"/>
          <w:szCs w:val="28"/>
        </w:rPr>
        <w:t>，</w:t>
      </w:r>
      <w:r>
        <w:rPr>
          <w:rFonts w:ascii="Times New Roman" w:hAnsi="Times New Roman" w:eastAsia="仿宋" w:cs="Times New Roman"/>
          <w:sz w:val="28"/>
          <w:szCs w:val="28"/>
        </w:rPr>
        <w:t>2025</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ETS</w:t>
      </w:r>
      <w:r>
        <w:rPr>
          <w:rFonts w:hint="eastAsia" w:ascii="Times New Roman" w:hAnsi="Times New Roman" w:eastAsia="仿宋" w:cs="Times New Roman"/>
          <w:sz w:val="28"/>
          <w:szCs w:val="28"/>
        </w:rPr>
        <w:t>新纳入钢铁、水泥、铝冶炼行业</w:t>
      </w:r>
      <w:r>
        <w:rPr>
          <w:rStyle w:val="26"/>
          <w:rFonts w:hint="eastAsia" w:ascii="Times New Roman" w:hAnsi="Times New Roman" w:eastAsia="仿宋" w:cs="Times New Roman"/>
          <w:sz w:val="28"/>
          <w:szCs w:val="28"/>
        </w:rPr>
        <w:t>。</w:t>
      </w:r>
      <w:r>
        <w:rPr>
          <w:rFonts w:ascii="Times New Roman" w:hAnsi="Times New Roman" w:eastAsia="仿宋" w:cs="Times New Roman"/>
          <w:sz w:val="28"/>
          <w:szCs w:val="28"/>
        </w:rPr>
        <w:t>2025年8月，中共中央办公厅、国务院办公厅发布《关于推进绿色低碳转型加强全国碳市场建设的意见》，提出碳市场建设的主要目标：到2027年，</w:t>
      </w:r>
      <w:r>
        <w:rPr>
          <w:rFonts w:hint="eastAsia" w:ascii="Times New Roman" w:hAnsi="Times New Roman" w:eastAsia="仿宋" w:cs="Times New Roman"/>
          <w:sz w:val="28"/>
          <w:szCs w:val="28"/>
        </w:rPr>
        <w:t>对碳排放总量相对稳定的行业优先实施配额总量控制，稳妥推行免费和有偿相结合的碳排放配额分配方式，有序提高有偿分配比例；到</w:t>
      </w:r>
      <w:r>
        <w:rPr>
          <w:rFonts w:ascii="Times New Roman" w:hAnsi="Times New Roman" w:eastAsia="仿宋" w:cs="Times New Roman"/>
          <w:sz w:val="28"/>
          <w:szCs w:val="28"/>
        </w:rPr>
        <w:t>2030年，基本建成以配额总量控制为基础、免费和有偿分配相结合的全国碳排放权交易市场，形成减排效果明显、规则体系健全、价格水平合理的碳定价机制</w:t>
      </w:r>
      <w:r>
        <w:rPr>
          <w:rFonts w:hint="eastAsia" w:ascii="Times New Roman" w:hAnsi="Times New Roman" w:eastAsia="仿宋" w:cs="Times New Roman"/>
          <w:sz w:val="28"/>
          <w:szCs w:val="28"/>
        </w:rPr>
        <w:t>。全国温室气体自愿减排交易市场于</w:t>
      </w:r>
      <w:r>
        <w:rPr>
          <w:rFonts w:ascii="Times New Roman" w:hAnsi="Times New Roman" w:eastAsia="仿宋" w:cs="Times New Roman"/>
          <w:sz w:val="28"/>
          <w:szCs w:val="28"/>
        </w:rPr>
        <w:t>2024</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1</w:t>
      </w:r>
      <w:r>
        <w:rPr>
          <w:rFonts w:hint="eastAsia" w:ascii="Times New Roman" w:hAnsi="Times New Roman" w:eastAsia="仿宋" w:cs="Times New Roman"/>
          <w:sz w:val="28"/>
          <w:szCs w:val="28"/>
        </w:rPr>
        <w:t>月启动，制度体系、方法学、支撑系统、监管体系逐步完善。</w:t>
      </w:r>
    </w:p>
    <w:p w14:paraId="2E6340BB">
      <w:pPr>
        <w:ind w:firstLine="560" w:firstLineChars="200"/>
        <w:rPr>
          <w:rFonts w:ascii="Times New Roman" w:hAnsi="Times New Roman" w:eastAsia="仿宋"/>
          <w:sz w:val="28"/>
          <w:szCs w:val="28"/>
        </w:rPr>
      </w:pPr>
      <w:r>
        <w:rPr>
          <w:rFonts w:hint="eastAsia" w:ascii="Times New Roman" w:hAnsi="Times New Roman" w:eastAsia="仿宋" w:cs="Times New Roman"/>
          <w:sz w:val="28"/>
          <w:szCs w:val="28"/>
        </w:rPr>
        <w:t>全国碳排放权交易市场发电行业重点排放单位覆盖燃煤电厂和燃气电厂等各类发电设施，年覆盖二氧化碳排放量超过</w:t>
      </w:r>
      <w:r>
        <w:rPr>
          <w:rFonts w:ascii="Times New Roman" w:hAnsi="Times New Roman" w:eastAsia="仿宋" w:cs="Times New Roman"/>
          <w:sz w:val="28"/>
          <w:szCs w:val="28"/>
        </w:rPr>
        <w:t>50</w:t>
      </w:r>
      <w:r>
        <w:rPr>
          <w:rFonts w:hint="eastAsia" w:ascii="Times New Roman" w:hAnsi="Times New Roman" w:eastAsia="仿宋" w:cs="Times New Roman"/>
          <w:sz w:val="28"/>
          <w:szCs w:val="28"/>
        </w:rPr>
        <w:t>亿吨。发电行业作为我国碳排放的第一大户，其排放量占中国碳排放总量的</w:t>
      </w:r>
      <w:r>
        <w:rPr>
          <w:rFonts w:ascii="Times New Roman" w:hAnsi="Times New Roman" w:eastAsia="仿宋" w:cs="Times New Roman"/>
          <w:sz w:val="28"/>
          <w:szCs w:val="28"/>
        </w:rPr>
        <w:t>40%</w:t>
      </w:r>
      <w:r>
        <w:rPr>
          <w:rFonts w:hint="eastAsia" w:ascii="Times New Roman" w:hAnsi="Times New Roman" w:eastAsia="仿宋" w:cs="Times New Roman"/>
          <w:sz w:val="28"/>
          <w:szCs w:val="28"/>
        </w:rPr>
        <w:t>左右，发电行业配额分配方案的合理性与监测、报告、核查（以下简称“</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”）体系的有效性，直接反映全国碳市场的运行质量与公信力。</w:t>
      </w:r>
    </w:p>
    <w:p w14:paraId="0B5DB34F">
      <w:pPr>
        <w:ind w:firstLine="560" w:firstLineChars="200"/>
        <w:rPr>
          <w:rFonts w:ascii="Times New Roman" w:hAnsi="Times New Roman" w:eastAsia="仿宋"/>
          <w:sz w:val="28"/>
          <w:szCs w:val="28"/>
        </w:rPr>
      </w:pPr>
      <w:r>
        <w:rPr>
          <w:rFonts w:hint="eastAsia" w:ascii="Times New Roman" w:hAnsi="Times New Roman" w:eastAsia="仿宋" w:cs="Times New Roman"/>
          <w:sz w:val="28"/>
          <w:szCs w:val="28"/>
        </w:rPr>
        <w:t>当前，发电行业配额分配制度虽持续优化调整，但精准匹配行业实际仍存在提升空间。随着用能权交易试点推进和电力市场化改革深化，发电企业面临碳配额、用能权、绿证等多重约束叠加的复杂局面，配额分配的协同性与一致性有待研究。按照碳市场建设顶层设计，全国碳排放权交易市场将逐步由强度控制转向总量控制，对碳排放总量相对稳定的行业优先实施配额总量控制，并稳妥推行免费和有偿相结合的碳排放配额分配方式，有序提高有偿分配比例。这一制度安排对发电行业现行配额分配方案的优化调整提出了新的要求。同时，发电行业</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体系框架虽基本建成，但数据质量闭环管理与技术支撑仍需强化。尽管实施主要燃料元素碳含量实测的企业比例已提升至</w:t>
      </w:r>
      <w:r>
        <w:rPr>
          <w:rFonts w:ascii="Times New Roman" w:hAnsi="Times New Roman" w:eastAsia="仿宋" w:cs="Times New Roman"/>
          <w:sz w:val="28"/>
          <w:szCs w:val="28"/>
        </w:rPr>
        <w:t>90%</w:t>
      </w:r>
      <w:r>
        <w:rPr>
          <w:rFonts w:hint="eastAsia" w:ascii="Times New Roman" w:hAnsi="Times New Roman" w:eastAsia="仿宋" w:cs="Times New Roman"/>
          <w:sz w:val="28"/>
          <w:szCs w:val="28"/>
        </w:rPr>
        <w:t>以上，但多数企业仍依赖第三方服务机构完成核算与报告，自身专业能力建设有待加强。发电行业作为碳市场建设“先行者”，其配额管理和</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体系优化对全国碳市场建设具有引领作用，为此系统梳理发电行业在配额分配与</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体系中的问题与薄弱环节，并充分衔接碳市场顶层设计方向，成为当前全国碳市场制度完善的关键切口。</w:t>
      </w:r>
    </w:p>
    <w:p w14:paraId="241C9215">
      <w:pPr>
        <w:pStyle w:val="3"/>
        <w:keepNext w:val="0"/>
        <w:keepLines w:val="0"/>
        <w:snapToGrid/>
        <w:spacing w:before="0" w:after="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二、总体目标</w:t>
      </w:r>
    </w:p>
    <w:p w14:paraId="241C9216">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本分包任务旨在聚焦发电行业配额管理与</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体系协同优化，系统梳理发电行业在碳排放权交易市场实施过程中的运行实况，识别现行政策在技术规范、执行流程与协同机制等方面的问题与薄弱环节，立足行业技术进步及能源转型趋势</w:t>
      </w:r>
      <w:r>
        <w:rPr>
          <w:rStyle w:val="26"/>
          <w:rFonts w:hint="eastAsia" w:ascii="Times New Roman" w:hAnsi="Times New Roman" w:eastAsia="仿宋" w:cs="Times New Roman"/>
          <w:sz w:val="28"/>
          <w:szCs w:val="28"/>
        </w:rPr>
        <w:t>，综合考虑配额总量控制及有偿分配方案实施的</w:t>
      </w:r>
      <w:r>
        <w:rPr>
          <w:rFonts w:hint="eastAsia" w:ascii="Times New Roman" w:hAnsi="Times New Roman" w:eastAsia="仿宋" w:cs="Times New Roman"/>
          <w:sz w:val="28"/>
          <w:szCs w:val="28"/>
        </w:rPr>
        <w:t>顶层设计方向，从行业角度提出兼具科学性、公平性与可操作性的配额管理优化建议及</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体系改进措施，为发电行业率先适应碳市场制度转型提供技术支撑，推动发电行业在碳市场机制下实现高质量发展。</w:t>
      </w:r>
    </w:p>
    <w:p w14:paraId="241C9218">
      <w:pPr>
        <w:pStyle w:val="3"/>
        <w:keepNext w:val="0"/>
        <w:keepLines w:val="0"/>
        <w:snapToGrid/>
        <w:spacing w:before="0" w:after="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三、工作内容及要求</w:t>
      </w:r>
    </w:p>
    <w:p w14:paraId="241C9219">
      <w:pPr>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 xml:space="preserve">3.1 </w:t>
      </w:r>
      <w:r>
        <w:rPr>
          <w:rFonts w:hint="eastAsia" w:ascii="Times New Roman" w:hAnsi="Times New Roman" w:eastAsia="仿宋" w:cs="Times New Roman"/>
          <w:b/>
          <w:bCs/>
          <w:sz w:val="28"/>
          <w:szCs w:val="28"/>
        </w:rPr>
        <w:t>总体工作范围</w:t>
      </w:r>
    </w:p>
    <w:p w14:paraId="42F0AA8C">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本分包任务涵盖发电行业配额管理机制评估与优化、</w:t>
      </w:r>
      <w:r>
        <w:rPr>
          <w:rFonts w:ascii="Times New Roman" w:hAnsi="Times New Roman" w:eastAsia="仿宋" w:cs="Times New Roman"/>
          <w:sz w:val="28"/>
          <w:szCs w:val="28"/>
        </w:rPr>
        <w:t>MRV体系运行效能诊断</w:t>
      </w:r>
      <w:r>
        <w:rPr>
          <w:rFonts w:hint="eastAsia" w:ascii="Times New Roman" w:hAnsi="Times New Roman" w:eastAsia="仿宋" w:cs="Times New Roman"/>
          <w:sz w:val="28"/>
          <w:szCs w:val="28"/>
        </w:rPr>
        <w:t>与改进两大核心内容，通过分析梳理行业现状、发展动态及趋势，深入了解发电企业在配额管理及</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方面的技术困难及政策诉求，综合考虑主管部门在政策执行中的问题与建议，结合国际碳市场的经验梳理，形成行业需求分析报告；评估国内发电行业四个履约周期实施效果，基于配额总量控制、有偿分配的顶层设计方向，提出配额方案优化建议；结合行业发展动态，评估发电行业现行</w:t>
      </w:r>
      <w:r>
        <w:rPr>
          <w:rFonts w:ascii="Times New Roman" w:hAnsi="Times New Roman" w:eastAsia="仿宋" w:cs="Times New Roman"/>
          <w:sz w:val="28"/>
          <w:szCs w:val="28"/>
        </w:rPr>
        <w:t>MRV体系</w:t>
      </w:r>
      <w:r>
        <w:rPr>
          <w:rFonts w:hint="eastAsia" w:ascii="Times New Roman" w:hAnsi="Times New Roman" w:eastAsia="仿宋" w:cs="Times New Roman"/>
          <w:sz w:val="28"/>
          <w:szCs w:val="28"/>
        </w:rPr>
        <w:t>实施效果，提出遵循顶层设计方向下的</w:t>
      </w:r>
      <w:r>
        <w:rPr>
          <w:rFonts w:ascii="Times New Roman" w:hAnsi="Times New Roman" w:eastAsia="仿宋" w:cs="Times New Roman"/>
          <w:sz w:val="28"/>
          <w:szCs w:val="28"/>
        </w:rPr>
        <w:t>MRV体系改进建议</w:t>
      </w:r>
      <w:r>
        <w:rPr>
          <w:rFonts w:hint="eastAsia" w:ascii="Times New Roman" w:hAnsi="Times New Roman" w:eastAsia="仿宋" w:cs="Times New Roman"/>
          <w:sz w:val="28"/>
          <w:szCs w:val="28"/>
        </w:rPr>
        <w:t>。</w:t>
      </w:r>
    </w:p>
    <w:p w14:paraId="241C921B">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本任务需在项目办统一协调下，为</w:t>
      </w:r>
      <w:r>
        <w:rPr>
          <w:rFonts w:ascii="Times New Roman" w:hAnsi="Times New Roman" w:eastAsia="仿宋" w:cs="Times New Roman"/>
          <w:sz w:val="28"/>
          <w:szCs w:val="28"/>
        </w:rPr>
        <w:t>PMI-1</w:t>
      </w:r>
      <w:r>
        <w:rPr>
          <w:rStyle w:val="27"/>
          <w:rFonts w:ascii="Times New Roman" w:hAnsi="Times New Roman" w:eastAsia="仿宋" w:cs="Times New Roman"/>
          <w:sz w:val="28"/>
          <w:szCs w:val="28"/>
        </w:rPr>
        <w:footnoteReference w:id="0"/>
      </w:r>
      <w:r>
        <w:rPr>
          <w:rFonts w:hint="eastAsia" w:ascii="Times New Roman" w:hAnsi="Times New Roman" w:eastAsia="仿宋" w:cs="Times New Roman"/>
          <w:sz w:val="28"/>
          <w:szCs w:val="28"/>
        </w:rPr>
        <w:t>、</w:t>
      </w:r>
      <w:r>
        <w:rPr>
          <w:rFonts w:ascii="Times New Roman" w:hAnsi="Times New Roman" w:eastAsia="仿宋" w:cs="Times New Roman"/>
          <w:sz w:val="28"/>
          <w:szCs w:val="28"/>
        </w:rPr>
        <w:t>PMI-2</w:t>
      </w:r>
      <w:r>
        <w:rPr>
          <w:rStyle w:val="27"/>
          <w:rFonts w:ascii="Times New Roman" w:hAnsi="Times New Roman" w:eastAsia="仿宋" w:cs="Times New Roman"/>
          <w:sz w:val="28"/>
          <w:szCs w:val="28"/>
        </w:rPr>
        <w:footnoteReference w:id="1"/>
      </w:r>
      <w:r>
        <w:rPr>
          <w:rFonts w:hint="eastAsia" w:ascii="Times New Roman" w:hAnsi="Times New Roman" w:eastAsia="仿宋" w:cs="Times New Roman"/>
          <w:sz w:val="28"/>
          <w:szCs w:val="28"/>
        </w:rPr>
        <w:t>、</w:t>
      </w:r>
      <w:r>
        <w:rPr>
          <w:rFonts w:ascii="Times New Roman" w:hAnsi="Times New Roman" w:eastAsia="仿宋" w:cs="Times New Roman"/>
          <w:sz w:val="28"/>
          <w:szCs w:val="28"/>
        </w:rPr>
        <w:t>PMI-3</w:t>
      </w:r>
      <w:r>
        <w:rPr>
          <w:rStyle w:val="27"/>
          <w:rFonts w:ascii="Times New Roman" w:hAnsi="Times New Roman" w:eastAsia="仿宋" w:cs="Times New Roman"/>
          <w:sz w:val="28"/>
          <w:szCs w:val="28"/>
        </w:rPr>
        <w:footnoteReference w:id="2"/>
      </w:r>
      <w:r>
        <w:rPr>
          <w:rFonts w:hint="eastAsia" w:ascii="Times New Roman" w:hAnsi="Times New Roman" w:eastAsia="仿宋" w:cs="Times New Roman"/>
          <w:sz w:val="28"/>
          <w:szCs w:val="28"/>
        </w:rPr>
        <w:t>、</w:t>
      </w:r>
      <w:r>
        <w:rPr>
          <w:rFonts w:ascii="Times New Roman" w:hAnsi="Times New Roman" w:eastAsia="仿宋" w:cs="Times New Roman"/>
          <w:sz w:val="28"/>
          <w:szCs w:val="28"/>
        </w:rPr>
        <w:t>PMI-4</w:t>
      </w:r>
      <w:r>
        <w:rPr>
          <w:rStyle w:val="27"/>
          <w:rFonts w:ascii="Times New Roman" w:hAnsi="Times New Roman" w:eastAsia="仿宋" w:cs="Times New Roman"/>
          <w:sz w:val="28"/>
          <w:szCs w:val="28"/>
        </w:rPr>
        <w:footnoteReference w:id="3"/>
      </w:r>
      <w:r>
        <w:rPr>
          <w:rFonts w:hint="eastAsia" w:ascii="Times New Roman" w:hAnsi="Times New Roman" w:eastAsia="仿宋" w:cs="Times New Roman"/>
          <w:sz w:val="28"/>
          <w:szCs w:val="28"/>
        </w:rPr>
        <w:t>及</w:t>
      </w:r>
      <w:r>
        <w:rPr>
          <w:rFonts w:ascii="Times New Roman" w:hAnsi="Times New Roman" w:eastAsia="仿宋" w:cs="Times New Roman"/>
          <w:sz w:val="28"/>
          <w:szCs w:val="28"/>
        </w:rPr>
        <w:t>PMI-17</w:t>
      </w:r>
      <w:r>
        <w:rPr>
          <w:rStyle w:val="27"/>
          <w:rFonts w:ascii="Times New Roman" w:hAnsi="Times New Roman" w:eastAsia="仿宋" w:cs="Times New Roman"/>
          <w:sz w:val="28"/>
          <w:szCs w:val="28"/>
        </w:rPr>
        <w:footnoteReference w:id="4"/>
      </w:r>
      <w:r>
        <w:rPr>
          <w:rFonts w:hint="eastAsia" w:ascii="Times New Roman" w:hAnsi="Times New Roman" w:eastAsia="仿宋" w:cs="Times New Roman"/>
          <w:sz w:val="28"/>
          <w:szCs w:val="28"/>
        </w:rPr>
        <w:t>的相关研究工作提供支持。</w:t>
      </w:r>
    </w:p>
    <w:p w14:paraId="241C921C">
      <w:pPr>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 xml:space="preserve">3.2 </w:t>
      </w:r>
      <w:r>
        <w:rPr>
          <w:rFonts w:hint="eastAsia" w:ascii="Times New Roman" w:hAnsi="Times New Roman" w:eastAsia="仿宋" w:cs="Times New Roman"/>
          <w:b/>
          <w:bCs/>
          <w:sz w:val="28"/>
          <w:szCs w:val="28"/>
        </w:rPr>
        <w:t>任务要求描述</w:t>
      </w:r>
    </w:p>
    <w:p w14:paraId="241C921D">
      <w:pPr>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 xml:space="preserve">3.2.1 </w:t>
      </w:r>
      <w:r>
        <w:rPr>
          <w:rFonts w:hint="eastAsia" w:ascii="Times New Roman" w:hAnsi="Times New Roman" w:eastAsia="仿宋" w:cs="Times New Roman"/>
          <w:b/>
          <w:bCs/>
          <w:sz w:val="28"/>
          <w:szCs w:val="28"/>
        </w:rPr>
        <w:t>发电行业发展动态与诉求调研</w:t>
      </w:r>
    </w:p>
    <w:p w14:paraId="5527FCF8">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本项任务旨在通过文献研究、调研访谈等方式，系统了解发电行业在配额管理及</w:t>
      </w:r>
      <w:r>
        <w:rPr>
          <w:rFonts w:ascii="Times New Roman" w:hAnsi="Times New Roman" w:eastAsia="仿宋" w:cs="Times New Roman"/>
          <w:sz w:val="28"/>
          <w:szCs w:val="28"/>
        </w:rPr>
        <w:t>MRV实施方面的实际运行情况和企业需求，</w:t>
      </w:r>
      <w:r>
        <w:rPr>
          <w:rFonts w:hint="eastAsia" w:ascii="Times New Roman" w:hAnsi="Times New Roman" w:eastAsia="仿宋" w:cs="Times New Roman"/>
          <w:sz w:val="28"/>
          <w:szCs w:val="28"/>
        </w:rPr>
        <w:t>借鉴国际先进经验，形成《发电行业配额管理及</w:t>
      </w:r>
      <w:r>
        <w:rPr>
          <w:rFonts w:ascii="Times New Roman" w:hAnsi="Times New Roman" w:eastAsia="仿宋" w:cs="Times New Roman"/>
          <w:sz w:val="28"/>
          <w:szCs w:val="28"/>
        </w:rPr>
        <w:t>MRV需求分析报告》，为后续配额优化和MRV改进提供实证基础</w:t>
      </w:r>
      <w:r>
        <w:rPr>
          <w:rFonts w:hint="eastAsia" w:ascii="Times New Roman" w:hAnsi="Times New Roman" w:eastAsia="仿宋" w:cs="Times New Roman"/>
          <w:sz w:val="28"/>
          <w:szCs w:val="28"/>
        </w:rPr>
        <w:t>和国际参照。内容包括但不限于：</w:t>
      </w:r>
    </w:p>
    <w:p w14:paraId="18E56A91">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a. </w:t>
      </w:r>
      <w:r>
        <w:rPr>
          <w:rFonts w:hint="eastAsia" w:ascii="Times New Roman" w:hAnsi="Times New Roman" w:eastAsia="仿宋" w:cs="Times New Roman"/>
          <w:sz w:val="28"/>
          <w:szCs w:val="28"/>
        </w:rPr>
        <w:t>国际经验对比分析：研究国际主要碳市场（如欧盟</w:t>
      </w:r>
      <w:r>
        <w:rPr>
          <w:rFonts w:ascii="Times New Roman" w:hAnsi="Times New Roman" w:eastAsia="仿宋" w:cs="Times New Roman"/>
          <w:sz w:val="28"/>
          <w:szCs w:val="28"/>
        </w:rPr>
        <w:t>ETS</w:t>
      </w:r>
      <w:r>
        <w:rPr>
          <w:rFonts w:hint="eastAsia" w:ascii="Times New Roman" w:hAnsi="Times New Roman" w:eastAsia="仿宋" w:cs="Times New Roman"/>
          <w:sz w:val="28"/>
          <w:szCs w:val="28"/>
        </w:rPr>
        <w:t>、美国加州</w:t>
      </w:r>
      <w:r>
        <w:rPr>
          <w:rFonts w:ascii="Times New Roman" w:hAnsi="Times New Roman" w:eastAsia="仿宋" w:cs="Times New Roman"/>
          <w:sz w:val="28"/>
          <w:szCs w:val="28"/>
        </w:rPr>
        <w:t>ETS</w:t>
      </w:r>
      <w:r>
        <w:rPr>
          <w:rFonts w:hint="eastAsia" w:ascii="Times New Roman" w:hAnsi="Times New Roman" w:eastAsia="仿宋" w:cs="Times New Roman"/>
          <w:sz w:val="28"/>
          <w:szCs w:val="28"/>
        </w:rPr>
        <w:t>、英国</w:t>
      </w:r>
      <w:r>
        <w:rPr>
          <w:rFonts w:ascii="Times New Roman" w:hAnsi="Times New Roman" w:eastAsia="仿宋" w:cs="Times New Roman"/>
          <w:sz w:val="28"/>
          <w:szCs w:val="28"/>
        </w:rPr>
        <w:t>ETS</w:t>
      </w:r>
      <w:r>
        <w:rPr>
          <w:rFonts w:hint="eastAsia" w:ascii="Times New Roman" w:hAnsi="Times New Roman" w:eastAsia="仿宋" w:cs="Times New Roman"/>
          <w:sz w:val="28"/>
          <w:szCs w:val="28"/>
        </w:rPr>
        <w:t>、韩国</w:t>
      </w:r>
      <w:r>
        <w:rPr>
          <w:rFonts w:ascii="Times New Roman" w:hAnsi="Times New Roman" w:eastAsia="仿宋" w:cs="Times New Roman"/>
          <w:sz w:val="28"/>
          <w:szCs w:val="28"/>
        </w:rPr>
        <w:t>ETS</w:t>
      </w:r>
      <w:r>
        <w:rPr>
          <w:rFonts w:hint="eastAsia" w:ascii="Times New Roman" w:hAnsi="Times New Roman" w:eastAsia="仿宋" w:cs="Times New Roman"/>
          <w:sz w:val="28"/>
          <w:szCs w:val="28"/>
        </w:rPr>
        <w:t>、新西兰</w:t>
      </w:r>
      <w:r>
        <w:rPr>
          <w:rFonts w:ascii="Times New Roman" w:hAnsi="Times New Roman" w:eastAsia="仿宋" w:cs="Times New Roman"/>
          <w:sz w:val="28"/>
          <w:szCs w:val="28"/>
        </w:rPr>
        <w:t>ETS</w:t>
      </w:r>
      <w:r>
        <w:rPr>
          <w:rFonts w:hint="eastAsia" w:ascii="Times New Roman" w:hAnsi="Times New Roman" w:eastAsia="仿宋" w:cs="Times New Roman"/>
          <w:sz w:val="28"/>
          <w:szCs w:val="28"/>
        </w:rPr>
        <w:t>等）发电行业在配额管理方面（总量控制、有偿分配、基准值设定、拍卖收入使用等）及</w:t>
      </w:r>
      <w:r>
        <w:rPr>
          <w:rFonts w:ascii="Times New Roman" w:hAnsi="Times New Roman" w:eastAsia="仿宋" w:cs="Times New Roman"/>
          <w:sz w:val="28"/>
          <w:szCs w:val="28"/>
        </w:rPr>
        <w:t>MRV体系</w:t>
      </w:r>
      <w:r>
        <w:rPr>
          <w:rFonts w:hint="eastAsia" w:ascii="Times New Roman" w:hAnsi="Times New Roman" w:eastAsia="仿宋" w:cs="Times New Roman"/>
          <w:sz w:val="28"/>
          <w:szCs w:val="28"/>
        </w:rPr>
        <w:t>方面（核算方法、数据质量控制、连续监测系统应用、核查机制等）的制度设计与实践经验，评估我国现行体系与国际最佳实践的差距与可借鉴之处。</w:t>
      </w:r>
    </w:p>
    <w:p w14:paraId="241C921E">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b. 行业发展动态梳理：系统梳理发电行业</w:t>
      </w:r>
      <w:r>
        <w:rPr>
          <w:rFonts w:hint="eastAsia" w:ascii="Times New Roman" w:hAnsi="Times New Roman" w:eastAsia="仿宋" w:cs="Times New Roman"/>
          <w:sz w:val="28"/>
          <w:szCs w:val="28"/>
        </w:rPr>
        <w:t>自全国碳排放权交易市场启动以来四个履约周期内与配额管理及</w:t>
      </w:r>
      <w:r>
        <w:rPr>
          <w:rFonts w:ascii="Times New Roman" w:hAnsi="Times New Roman" w:eastAsia="仿宋" w:cs="Times New Roman"/>
          <w:sz w:val="28"/>
          <w:szCs w:val="28"/>
        </w:rPr>
        <w:t>MRV相关的关键指标变化趋势，</w:t>
      </w:r>
      <w:r>
        <w:rPr>
          <w:rFonts w:hint="eastAsia" w:ascii="Times New Roman" w:hAnsi="Times New Roman" w:eastAsia="仿宋" w:cs="Times New Roman"/>
          <w:sz w:val="28"/>
          <w:szCs w:val="28"/>
        </w:rPr>
        <w:t>包括机组类型、碳排放强度、配额盈亏情况、数据质量控制计划执行情况及平台应用情况等，分析碳排放权交易市场实施（包括配额分配和</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体系运行）对行业运行的影响，为配额分配方案优化及</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体系改进提供行业支撑。</w:t>
      </w:r>
    </w:p>
    <w:p w14:paraId="241C921F">
      <w:pPr>
        <w:ind w:firstLine="560" w:firstLineChars="200"/>
        <w:rPr>
          <w:rFonts w:ascii="Times New Roman" w:hAnsi="Times New Roman" w:eastAsia="仿宋"/>
          <w:sz w:val="28"/>
          <w:szCs w:val="28"/>
        </w:rPr>
      </w:pPr>
      <w:r>
        <w:rPr>
          <w:rFonts w:ascii="Times New Roman" w:hAnsi="Times New Roman" w:eastAsia="仿宋" w:cs="Times New Roman"/>
          <w:sz w:val="28"/>
          <w:szCs w:val="28"/>
        </w:rPr>
        <w:t xml:space="preserve">c. </w:t>
      </w:r>
      <w:r>
        <w:rPr>
          <w:rFonts w:hint="eastAsia" w:ascii="Times New Roman" w:hAnsi="Times New Roman" w:eastAsia="仿宋" w:cs="Times New Roman"/>
          <w:sz w:val="28"/>
          <w:szCs w:val="28"/>
        </w:rPr>
        <w:t>配额管理及</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体系诉求访谈：面向不同类型、规模、机组结构（燃煤、燃气、生物质等）的发电企业，通过问卷调研与典型访谈相结合的方式，系统了解企业在配额管理（如配额公平性、基准值合理性、履约负担、政策协同需求及对总量控制、有偿分配等制度转型的认知与应对措施等）以及</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实施（如数据采集规范性、月度存证质量、燃料实测准确性、核查服务质量、新技术应用需求等）方面的技术困难与政策诉求。同时，面向国家及地方生态环境主管部门，通过专题座谈与调研访谈相结合的方式，系统了解主管部门在配额分配方案制定、月度存证审核与监管、核查机构管理等方面的实际运行经验、存在困难及改进建议，收集其对配额总量控制、有偿分配、</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体系优化等未来政策方向的意见与考量，形成发电行业配额管理及</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需求分析报告。</w:t>
      </w:r>
    </w:p>
    <w:p w14:paraId="241C9220">
      <w:pPr>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 xml:space="preserve">3.2.2 </w:t>
      </w:r>
      <w:r>
        <w:rPr>
          <w:rFonts w:hint="eastAsia" w:ascii="Times New Roman" w:hAnsi="Times New Roman" w:eastAsia="仿宋" w:cs="Times New Roman"/>
          <w:b/>
          <w:bCs/>
          <w:sz w:val="28"/>
          <w:szCs w:val="28"/>
        </w:rPr>
        <w:t>发电行业配额管理机制评估与优化研究</w:t>
      </w:r>
    </w:p>
    <w:p w14:paraId="56628C07">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本项任务旨在评估现行发电行业配额分配机制的实施效果，结合国际经验和国内全国碳市场顶层设计方向，在</w:t>
      </w:r>
      <w:r>
        <w:rPr>
          <w:rFonts w:ascii="Times New Roman" w:hAnsi="Times New Roman" w:eastAsia="仿宋" w:cs="Times New Roman"/>
          <w:sz w:val="28"/>
          <w:szCs w:val="28"/>
        </w:rPr>
        <w:t>PMO</w:t>
      </w:r>
      <w:r>
        <w:rPr>
          <w:rFonts w:hint="eastAsia" w:ascii="Times New Roman" w:hAnsi="Times New Roman" w:eastAsia="仿宋" w:cs="Times New Roman"/>
          <w:sz w:val="28"/>
          <w:szCs w:val="28"/>
        </w:rPr>
        <w:t>统一协调下，充分考虑</w:t>
      </w:r>
      <w:r>
        <w:rPr>
          <w:rFonts w:ascii="Times New Roman" w:hAnsi="Times New Roman" w:eastAsia="仿宋" w:cs="Times New Roman"/>
          <w:sz w:val="28"/>
          <w:szCs w:val="28"/>
        </w:rPr>
        <w:t>PMI-3</w:t>
      </w:r>
      <w:r>
        <w:rPr>
          <w:rFonts w:hint="eastAsia" w:ascii="Times New Roman" w:hAnsi="Times New Roman" w:eastAsia="仿宋" w:cs="Times New Roman"/>
          <w:sz w:val="28"/>
          <w:szCs w:val="28"/>
        </w:rPr>
        <w:t>分包承担单位的指导意见，提出配额方案优化建议，形成《发电行业配额管理制度优化建议报告》。内容包括但不限于：</w:t>
      </w:r>
    </w:p>
    <w:p w14:paraId="241C9222">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a. </w:t>
      </w:r>
      <w:r>
        <w:rPr>
          <w:rStyle w:val="26"/>
          <w:rFonts w:hint="eastAsia" w:ascii="Times New Roman" w:hAnsi="Times New Roman" w:eastAsia="仿宋" w:cs="Times New Roman"/>
          <w:sz w:val="28"/>
          <w:szCs w:val="28"/>
        </w:rPr>
        <w:t>配额机制与其他政策协同分析</w:t>
      </w:r>
      <w:r>
        <w:rPr>
          <w:rFonts w:hint="eastAsia" w:ascii="Times New Roman" w:hAnsi="Times New Roman" w:eastAsia="仿宋" w:cs="Times New Roman"/>
          <w:sz w:val="28"/>
          <w:szCs w:val="28"/>
        </w:rPr>
        <w:t>：分析发电行业配额分配与用能权交易、绿电绿证等政策的协调关系，识别现行配额机制在多重约束下的适应性及不足。</w:t>
      </w:r>
    </w:p>
    <w:p w14:paraId="45ABDACC">
      <w:pPr>
        <w:ind w:firstLine="560" w:firstLineChars="200"/>
        <w:rPr>
          <w:rFonts w:eastAsia="仿宋"/>
          <w:sz w:val="28"/>
          <w:szCs w:val="28"/>
        </w:rPr>
      </w:pPr>
      <w:r>
        <w:rPr>
          <w:rFonts w:ascii="Times New Roman" w:hAnsi="Times New Roman" w:eastAsia="仿宋" w:cs="Times New Roman"/>
          <w:sz w:val="28"/>
          <w:szCs w:val="28"/>
        </w:rPr>
        <w:t xml:space="preserve">b. </w:t>
      </w:r>
      <w:r>
        <w:rPr>
          <w:rFonts w:hint="eastAsia" w:ascii="Times New Roman" w:hAnsi="Times New Roman" w:eastAsia="仿宋" w:cs="Times New Roman"/>
          <w:sz w:val="28"/>
          <w:szCs w:val="28"/>
        </w:rPr>
        <w:t>总量控制与有偿分配方案研究：研究发电行业引入绝对排放总量控制的实施可行性及对企业的影响，从行业角度提出关键时间节点的建议总量控制路径；设计免费配额与有偿配额分配结构及按机组类型设定差异化基准值的技术方案。</w:t>
      </w:r>
    </w:p>
    <w:p w14:paraId="398EFFB9">
      <w:pPr>
        <w:ind w:firstLine="560" w:firstLineChars="200"/>
        <w:rPr>
          <w:rFonts w:ascii="Times New Roman" w:hAnsi="Times New Roman" w:eastAsia="宋体"/>
          <w:sz w:val="28"/>
          <w:szCs w:val="20"/>
        </w:rPr>
      </w:pPr>
      <w:r>
        <w:rPr>
          <w:rFonts w:ascii="Times New Roman" w:hAnsi="Times New Roman" w:eastAsia="仿宋" w:cs="Times New Roman"/>
          <w:sz w:val="28"/>
          <w:szCs w:val="28"/>
        </w:rPr>
        <w:t xml:space="preserve">c. </w:t>
      </w:r>
      <w:r>
        <w:rPr>
          <w:rFonts w:hint="eastAsia" w:ascii="Times New Roman" w:hAnsi="Times New Roman" w:eastAsia="仿宋" w:cs="Times New Roman"/>
          <w:sz w:val="28"/>
          <w:szCs w:val="28"/>
        </w:rPr>
        <w:t>企业应对策略分析：分析配额总量控制和有偿分配方案施行后，不同类型发电企业的潜在应对策略，包括但不限于：低碳技术路线选择、燃料结构优化、运行效率提升、碳资产管理策略、管理能力建设等</w:t>
      </w:r>
    </w:p>
    <w:p w14:paraId="241C9223">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d. 配额</w:t>
      </w:r>
      <w:r>
        <w:rPr>
          <w:rFonts w:hint="eastAsia" w:ascii="Times New Roman" w:hAnsi="Times New Roman" w:eastAsia="仿宋" w:cs="Times New Roman"/>
          <w:sz w:val="28"/>
          <w:szCs w:val="28"/>
        </w:rPr>
        <w:t>方案优化建议：综合上述研究，提出发电行业配额分配方案整体优化建议。同时，配合</w:t>
      </w:r>
      <w:r>
        <w:rPr>
          <w:rFonts w:ascii="Times New Roman" w:hAnsi="Times New Roman" w:eastAsia="仿宋" w:cs="Times New Roman"/>
          <w:sz w:val="28"/>
          <w:szCs w:val="28"/>
        </w:rPr>
        <w:t>PMO参与配额管理相关交流会，就行业政策动向、行业发展现状及最新动态开展深入交流。</w:t>
      </w:r>
    </w:p>
    <w:p w14:paraId="241C9224">
      <w:pPr>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 xml:space="preserve">3.2.3 </w:t>
      </w:r>
      <w:r>
        <w:rPr>
          <w:rFonts w:hint="eastAsia" w:ascii="Times New Roman" w:hAnsi="Times New Roman" w:eastAsia="仿宋" w:cs="Times New Roman"/>
          <w:b/>
          <w:bCs/>
          <w:sz w:val="28"/>
          <w:szCs w:val="28"/>
        </w:rPr>
        <w:t>发电行业</w:t>
      </w:r>
      <w:r>
        <w:rPr>
          <w:rFonts w:ascii="Times New Roman" w:hAnsi="Times New Roman" w:eastAsia="仿宋" w:cs="Times New Roman"/>
          <w:b/>
          <w:bCs/>
          <w:sz w:val="28"/>
          <w:szCs w:val="28"/>
        </w:rPr>
        <w:t>MRV体系优化研究</w:t>
      </w:r>
    </w:p>
    <w:p w14:paraId="69EF752F">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本项任务旨在系统梳理并诊断发电行业</w:t>
      </w:r>
      <w:r>
        <w:rPr>
          <w:rFonts w:ascii="Times New Roman" w:hAnsi="Times New Roman" w:eastAsia="仿宋" w:cs="Times New Roman"/>
          <w:sz w:val="28"/>
          <w:szCs w:val="28"/>
        </w:rPr>
        <w:t>MRV体系运行中的主要难点，</w:t>
      </w:r>
      <w:r>
        <w:rPr>
          <w:rFonts w:hint="eastAsia" w:ascii="Times New Roman" w:hAnsi="Times New Roman" w:eastAsia="仿宋" w:cs="Times New Roman"/>
          <w:sz w:val="28"/>
          <w:szCs w:val="28"/>
        </w:rPr>
        <w:t>在</w:t>
      </w:r>
      <w:r>
        <w:rPr>
          <w:rFonts w:ascii="Times New Roman" w:hAnsi="Times New Roman" w:eastAsia="仿宋" w:cs="Times New Roman"/>
          <w:sz w:val="28"/>
          <w:szCs w:val="28"/>
        </w:rPr>
        <w:t>PMO</w:t>
      </w:r>
      <w:r>
        <w:rPr>
          <w:rFonts w:hint="eastAsia" w:ascii="Times New Roman" w:hAnsi="Times New Roman" w:eastAsia="仿宋" w:cs="Times New Roman"/>
          <w:sz w:val="28"/>
          <w:szCs w:val="28"/>
        </w:rPr>
        <w:t>的统一协调下，综合考虑</w:t>
      </w:r>
      <w:r>
        <w:rPr>
          <w:rFonts w:ascii="Times New Roman" w:hAnsi="Times New Roman" w:eastAsia="仿宋" w:cs="Times New Roman"/>
          <w:sz w:val="28"/>
          <w:szCs w:val="28"/>
        </w:rPr>
        <w:t>PMI-4及PMI-17</w:t>
      </w:r>
      <w:r>
        <w:rPr>
          <w:rFonts w:hint="eastAsia" w:ascii="Times New Roman" w:hAnsi="Times New Roman" w:eastAsia="仿宋" w:cs="Times New Roman"/>
          <w:sz w:val="28"/>
          <w:szCs w:val="28"/>
        </w:rPr>
        <w:t>分包承担单位的指导意见，借鉴国际先进实践，提出优化改进建议，形成《发电行业</w:t>
      </w:r>
      <w:r>
        <w:rPr>
          <w:rFonts w:ascii="Times New Roman" w:hAnsi="Times New Roman" w:eastAsia="仿宋" w:cs="Times New Roman"/>
          <w:sz w:val="28"/>
          <w:szCs w:val="28"/>
        </w:rPr>
        <w:t>MRV体系改进建议报告》。内容包括但不限于：</w:t>
      </w:r>
    </w:p>
    <w:p w14:paraId="241C9225">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a. </w:t>
      </w:r>
      <w:r>
        <w:rPr>
          <w:rFonts w:hint="eastAsia" w:ascii="Times New Roman" w:hAnsi="Times New Roman" w:eastAsia="仿宋" w:cs="Times New Roman"/>
          <w:sz w:val="28"/>
          <w:szCs w:val="28"/>
        </w:rPr>
        <w:t>碳排放核算难点诊断：系统梳理发电行业现行技术指南在执行中的主要难点，包括但不限于：核算边界的清晰度、燃料燃烧排放因子取值的准确性、生产数据计量的可追溯性、缺省排放因子（特别是碳氧化率）的适用性、掺烧生物质等复杂工况的处理方式、连续排放监测系统（</w:t>
      </w:r>
      <w:r>
        <w:rPr>
          <w:rFonts w:ascii="Times New Roman" w:hAnsi="Times New Roman" w:eastAsia="仿宋" w:cs="Times New Roman"/>
          <w:sz w:val="28"/>
          <w:szCs w:val="28"/>
        </w:rPr>
        <w:t>CEMS</w:t>
      </w:r>
      <w:r>
        <w:rPr>
          <w:rFonts w:hint="eastAsia" w:ascii="Times New Roman" w:hAnsi="Times New Roman" w:eastAsia="仿宋" w:cs="Times New Roman"/>
          <w:sz w:val="28"/>
          <w:szCs w:val="28"/>
        </w:rPr>
        <w:t>）的技术与制度准备等。</w:t>
      </w:r>
    </w:p>
    <w:p w14:paraId="241C9226">
      <w:pPr>
        <w:pStyle w:val="2"/>
        <w:rPr>
          <w:rFonts w:eastAsia="仿宋"/>
          <w:sz w:val="28"/>
          <w:szCs w:val="28"/>
        </w:rPr>
      </w:pPr>
      <w:r>
        <w:rPr>
          <w:rFonts w:eastAsia="仿宋"/>
          <w:sz w:val="28"/>
          <w:szCs w:val="28"/>
        </w:rPr>
        <w:t xml:space="preserve">b. </w:t>
      </w:r>
      <w:r>
        <w:rPr>
          <w:rFonts w:hint="eastAsia" w:eastAsia="仿宋"/>
          <w:sz w:val="28"/>
          <w:szCs w:val="28"/>
        </w:rPr>
        <w:t>燃料实测质量可控性与新技术应用研究：研究发电企业开展主要燃料实测的质量、采样制样规范性、检测分析能力及数据报送质量现状，评估当前燃料燃烧排放因子实测工作的质量可控性。调研区块链存证技术、</w:t>
      </w:r>
      <w:r>
        <w:rPr>
          <w:rFonts w:eastAsia="仿宋"/>
          <w:sz w:val="28"/>
          <w:szCs w:val="28"/>
        </w:rPr>
        <w:t>AI</w:t>
      </w:r>
      <w:r>
        <w:rPr>
          <w:rFonts w:hint="eastAsia" w:eastAsia="仿宋"/>
          <w:sz w:val="28"/>
          <w:szCs w:val="28"/>
        </w:rPr>
        <w:t>智能核算平台、</w:t>
      </w:r>
      <w:r>
        <w:rPr>
          <w:rFonts w:eastAsia="仿宋"/>
          <w:sz w:val="28"/>
          <w:szCs w:val="28"/>
        </w:rPr>
        <w:t>CEMS</w:t>
      </w:r>
      <w:r>
        <w:rPr>
          <w:rFonts w:hint="eastAsia" w:eastAsia="仿宋"/>
          <w:sz w:val="28"/>
          <w:szCs w:val="28"/>
        </w:rPr>
        <w:t>等新技术应用情况，评估当前新技术成熟度，并预测未来技术替代趋势及其对发电行业碳排放数据质量管理的影响。</w:t>
      </w:r>
    </w:p>
    <w:p w14:paraId="26E2BD00">
      <w:pPr>
        <w:pStyle w:val="2"/>
        <w:rPr>
          <w:rFonts w:eastAsia="仿宋"/>
          <w:sz w:val="28"/>
          <w:szCs w:val="28"/>
        </w:rPr>
      </w:pPr>
      <w:r>
        <w:rPr>
          <w:rFonts w:eastAsia="仿宋"/>
          <w:sz w:val="28"/>
          <w:szCs w:val="28"/>
        </w:rPr>
        <w:t xml:space="preserve">c. </w:t>
      </w:r>
      <w:r>
        <w:rPr>
          <w:rFonts w:hint="eastAsia" w:eastAsia="仿宋"/>
          <w:sz w:val="28"/>
          <w:szCs w:val="28"/>
        </w:rPr>
        <w:t>面向制度转型的</w:t>
      </w:r>
      <w:r>
        <w:rPr>
          <w:rFonts w:eastAsia="仿宋"/>
          <w:sz w:val="28"/>
          <w:szCs w:val="28"/>
        </w:rPr>
        <w:t>MRV</w:t>
      </w:r>
      <w:r>
        <w:rPr>
          <w:rFonts w:hint="eastAsia" w:eastAsia="仿宋"/>
          <w:sz w:val="28"/>
          <w:szCs w:val="28"/>
        </w:rPr>
        <w:t>支持能力分析：分析发电行业现行</w:t>
      </w:r>
      <w:r>
        <w:rPr>
          <w:rFonts w:eastAsia="仿宋"/>
          <w:sz w:val="28"/>
          <w:szCs w:val="28"/>
        </w:rPr>
        <w:t>MRV</w:t>
      </w:r>
      <w:r>
        <w:rPr>
          <w:rFonts w:hint="eastAsia" w:eastAsia="仿宋"/>
          <w:sz w:val="28"/>
          <w:szCs w:val="28"/>
        </w:rPr>
        <w:t>体系对配额总量控制及有偿分配方案实施的支撑能力，提出适应制度转型的</w:t>
      </w:r>
      <w:r>
        <w:rPr>
          <w:rFonts w:eastAsia="仿宋"/>
          <w:sz w:val="28"/>
          <w:szCs w:val="28"/>
        </w:rPr>
        <w:t>MRV</w:t>
      </w:r>
      <w:r>
        <w:rPr>
          <w:rFonts w:hint="eastAsia" w:eastAsia="仿宋"/>
          <w:sz w:val="28"/>
          <w:szCs w:val="28"/>
        </w:rPr>
        <w:t>改进方向及实施路径。</w:t>
      </w:r>
      <w:r>
        <w:rPr>
          <w:rFonts w:eastAsia="仿宋"/>
          <w:sz w:val="28"/>
          <w:szCs w:val="28"/>
        </w:rPr>
        <w:t>内容包括但不限于：核算指南修订建议、核查工作改进意见、数据质量保障机制强化路径、全国碳市场平台优化及新型监测技术推荐应用等。</w:t>
      </w:r>
    </w:p>
    <w:p w14:paraId="241C9227">
      <w:pPr>
        <w:pStyle w:val="2"/>
        <w:rPr>
          <w:rFonts w:eastAsia="仿宋"/>
          <w:sz w:val="28"/>
          <w:szCs w:val="28"/>
        </w:rPr>
      </w:pPr>
      <w:r>
        <w:rPr>
          <w:rFonts w:eastAsia="仿宋"/>
          <w:sz w:val="28"/>
          <w:szCs w:val="28"/>
        </w:rPr>
        <w:t xml:space="preserve">d. </w:t>
      </w:r>
      <w:r>
        <w:rPr>
          <w:rFonts w:hint="eastAsia" w:eastAsia="仿宋"/>
          <w:sz w:val="28"/>
          <w:szCs w:val="28"/>
        </w:rPr>
        <w:t>发电行业</w:t>
      </w:r>
      <w:r>
        <w:rPr>
          <w:rFonts w:eastAsia="仿宋"/>
          <w:sz w:val="28"/>
          <w:szCs w:val="28"/>
        </w:rPr>
        <w:t>MRV体系优化建议</w:t>
      </w:r>
      <w:r>
        <w:rPr>
          <w:rFonts w:hint="eastAsia" w:eastAsia="仿宋"/>
          <w:sz w:val="28"/>
          <w:szCs w:val="28"/>
        </w:rPr>
        <w:t>：系统提出发电行业</w:t>
      </w:r>
      <w:r>
        <w:rPr>
          <w:rFonts w:eastAsia="仿宋"/>
          <w:sz w:val="28"/>
          <w:szCs w:val="28"/>
        </w:rPr>
        <w:t>MRV体系优化改进建议，</w:t>
      </w:r>
      <w:r>
        <w:rPr>
          <w:rFonts w:hint="eastAsia" w:eastAsia="仿宋"/>
          <w:sz w:val="28"/>
          <w:szCs w:val="28"/>
        </w:rPr>
        <w:t>确保</w:t>
      </w:r>
      <w:r>
        <w:rPr>
          <w:rFonts w:eastAsia="仿宋"/>
          <w:sz w:val="28"/>
          <w:szCs w:val="28"/>
        </w:rPr>
        <w:t>MRV</w:t>
      </w:r>
      <w:r>
        <w:rPr>
          <w:rFonts w:hint="eastAsia" w:eastAsia="仿宋"/>
          <w:sz w:val="28"/>
          <w:szCs w:val="28"/>
        </w:rPr>
        <w:t>体系能够适应制度转型及新型技术迭代的挑战。同时，配合项目管理办公室参与</w:t>
      </w:r>
      <w:r>
        <w:rPr>
          <w:rFonts w:eastAsia="仿宋"/>
          <w:sz w:val="28"/>
          <w:szCs w:val="28"/>
        </w:rPr>
        <w:t>MRV体系优化相关交流会，就行业政策动向、行业发展现状及最新动态开展深入交流。</w:t>
      </w:r>
    </w:p>
    <w:p w14:paraId="241C9228">
      <w:pPr>
        <w:pStyle w:val="3"/>
        <w:keepNext w:val="0"/>
        <w:keepLines w:val="0"/>
        <w:snapToGrid/>
        <w:spacing w:before="0" w:after="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四、预计交付成果</w:t>
      </w:r>
    </w:p>
    <w:p w14:paraId="241C9229">
      <w:pPr>
        <w:widowControl/>
        <w:overflowPunct w:val="0"/>
        <w:autoSpaceDE w:val="0"/>
        <w:autoSpaceDN w:val="0"/>
        <w:adjustRightInd w:val="0"/>
        <w:spacing w:line="360" w:lineRule="auto"/>
        <w:ind w:firstLine="560" w:firstLineChars="200"/>
        <w:textAlignment w:val="baseline"/>
        <w:outlineLvl w:val="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本项目预计成果包括：</w:t>
      </w:r>
    </w:p>
    <w:p w14:paraId="15984393">
      <w:pPr>
        <w:widowControl/>
        <w:overflowPunct w:val="0"/>
        <w:autoSpaceDE w:val="0"/>
        <w:autoSpaceDN w:val="0"/>
        <w:adjustRightInd w:val="0"/>
        <w:spacing w:line="360" w:lineRule="auto"/>
        <w:ind w:firstLine="562" w:firstLineChars="200"/>
        <w:textAlignment w:val="baseline"/>
        <w:outlineLvl w:val="0"/>
        <w:rPr>
          <w:rFonts w:ascii="Times New Roman" w:hAnsi="Times New Roman" w:eastAsia="仿宋" w:cs="Times New Roman"/>
          <w:b/>
          <w:bCs/>
          <w:color w:val="000000" w:themeColor="text1"/>
          <w:sz w:val="28"/>
          <w:szCs w:val="28"/>
          <w14:textFill>
            <w14:solidFill>
              <w14:schemeClr w14:val="tx1"/>
            </w14:solidFill>
          </w14:textFill>
        </w:rPr>
      </w:pPr>
      <w:r>
        <w:rPr>
          <w:rFonts w:ascii="Times New Roman" w:hAnsi="Times New Roman" w:eastAsia="仿宋" w:cs="Times New Roman"/>
          <w:b/>
          <w:bCs/>
          <w:color w:val="000000" w:themeColor="text1"/>
          <w:sz w:val="28"/>
          <w:szCs w:val="28"/>
          <w14:textFill>
            <w14:solidFill>
              <w14:schemeClr w14:val="tx1"/>
            </w14:solidFill>
          </w14:textFill>
        </w:rPr>
        <w:t xml:space="preserve">4.1 </w:t>
      </w:r>
      <w:r>
        <w:rPr>
          <w:rFonts w:hint="eastAsia" w:ascii="Times New Roman" w:hAnsi="Times New Roman" w:eastAsia="仿宋" w:cs="Times New Roman"/>
          <w:b/>
          <w:bCs/>
          <w:color w:val="000000" w:themeColor="text1"/>
          <w:sz w:val="28"/>
          <w:szCs w:val="28"/>
          <w14:textFill>
            <w14:solidFill>
              <w14:schemeClr w14:val="tx1"/>
            </w14:solidFill>
          </w14:textFill>
        </w:rPr>
        <w:t>《发电行业配额管理及</w:t>
      </w:r>
      <w:r>
        <w:rPr>
          <w:rFonts w:ascii="Times New Roman" w:hAnsi="Times New Roman" w:eastAsia="仿宋" w:cs="Times New Roman"/>
          <w:b/>
          <w:bCs/>
          <w:color w:val="000000" w:themeColor="text1"/>
          <w:sz w:val="28"/>
          <w:szCs w:val="28"/>
          <w14:textFill>
            <w14:solidFill>
              <w14:schemeClr w14:val="tx1"/>
            </w14:solidFill>
          </w14:textFill>
        </w:rPr>
        <w:t>MRV</w:t>
      </w:r>
      <w:r>
        <w:rPr>
          <w:rFonts w:hint="eastAsia" w:ascii="Times New Roman" w:hAnsi="Times New Roman" w:eastAsia="仿宋" w:cs="Times New Roman"/>
          <w:b/>
          <w:bCs/>
          <w:color w:val="000000" w:themeColor="text1"/>
          <w:sz w:val="28"/>
          <w:szCs w:val="28"/>
          <w14:textFill>
            <w14:solidFill>
              <w14:schemeClr w14:val="tx1"/>
            </w14:solidFill>
          </w14:textFill>
        </w:rPr>
        <w:t>需求分析报告》</w:t>
      </w:r>
    </w:p>
    <w:p w14:paraId="241C922A">
      <w:pPr>
        <w:widowControl/>
        <w:overflowPunct w:val="0"/>
        <w:autoSpaceDE w:val="0"/>
        <w:autoSpaceDN w:val="0"/>
        <w:adjustRightInd w:val="0"/>
        <w:spacing w:line="360" w:lineRule="auto"/>
        <w:ind w:firstLine="562" w:firstLineChars="200"/>
        <w:textAlignment w:val="baseline"/>
        <w:outlineLvl w:val="0"/>
        <w:rPr>
          <w:rFonts w:ascii="Times New Roman" w:hAnsi="Times New Roman" w:eastAsia="仿宋" w:cs="Times New Roman"/>
          <w:b/>
          <w:bCs/>
          <w:color w:val="000000" w:themeColor="text1"/>
          <w:sz w:val="28"/>
          <w:szCs w:val="28"/>
          <w14:textFill>
            <w14:solidFill>
              <w14:schemeClr w14:val="tx1"/>
            </w14:solidFill>
          </w14:textFill>
        </w:rPr>
      </w:pPr>
      <w:r>
        <w:rPr>
          <w:rFonts w:ascii="Times New Roman" w:hAnsi="Times New Roman" w:eastAsia="仿宋" w:cs="Times New Roman"/>
          <w:b/>
          <w:bCs/>
          <w:color w:val="000000" w:themeColor="text1"/>
          <w:sz w:val="28"/>
          <w:szCs w:val="28"/>
          <w14:textFill>
            <w14:solidFill>
              <w14:schemeClr w14:val="tx1"/>
            </w14:solidFill>
          </w14:textFill>
        </w:rPr>
        <w:t xml:space="preserve">4.2 </w:t>
      </w:r>
      <w:r>
        <w:rPr>
          <w:rFonts w:hint="eastAsia" w:ascii="Times New Roman" w:hAnsi="Times New Roman" w:eastAsia="仿宋" w:cs="Times New Roman"/>
          <w:b/>
          <w:bCs/>
          <w:color w:val="000000" w:themeColor="text1"/>
          <w:sz w:val="28"/>
          <w:szCs w:val="28"/>
          <w14:textFill>
            <w14:solidFill>
              <w14:schemeClr w14:val="tx1"/>
            </w14:solidFill>
          </w14:textFill>
        </w:rPr>
        <w:t>《发电行业配额管理制度优化建议报告》</w:t>
      </w:r>
    </w:p>
    <w:p w14:paraId="241C922B">
      <w:pPr>
        <w:widowControl/>
        <w:overflowPunct w:val="0"/>
        <w:autoSpaceDE w:val="0"/>
        <w:autoSpaceDN w:val="0"/>
        <w:adjustRightInd w:val="0"/>
        <w:spacing w:line="360" w:lineRule="auto"/>
        <w:ind w:firstLine="562" w:firstLineChars="200"/>
        <w:textAlignment w:val="baseline"/>
        <w:outlineLvl w:val="0"/>
        <w:rPr>
          <w:rFonts w:ascii="Times New Roman" w:hAnsi="Times New Roman" w:eastAsia="仿宋" w:cs="Times New Roman"/>
          <w:b/>
          <w:bCs/>
          <w:color w:val="000000" w:themeColor="text1"/>
          <w:sz w:val="28"/>
          <w:szCs w:val="28"/>
          <w14:textFill>
            <w14:solidFill>
              <w14:schemeClr w14:val="tx1"/>
            </w14:solidFill>
          </w14:textFill>
        </w:rPr>
      </w:pPr>
      <w:r>
        <w:rPr>
          <w:rFonts w:ascii="Times New Roman" w:hAnsi="Times New Roman" w:eastAsia="仿宋" w:cs="Times New Roman"/>
          <w:b/>
          <w:bCs/>
          <w:color w:val="000000" w:themeColor="text1"/>
          <w:sz w:val="28"/>
          <w:szCs w:val="28"/>
          <w14:textFill>
            <w14:solidFill>
              <w14:schemeClr w14:val="tx1"/>
            </w14:solidFill>
          </w14:textFill>
        </w:rPr>
        <w:t xml:space="preserve">4.3 </w:t>
      </w:r>
      <w:r>
        <w:rPr>
          <w:rFonts w:hint="eastAsia" w:ascii="Times New Roman" w:hAnsi="Times New Roman" w:eastAsia="仿宋" w:cs="Times New Roman"/>
          <w:b/>
          <w:bCs/>
          <w:color w:val="000000" w:themeColor="text1"/>
          <w:sz w:val="28"/>
          <w:szCs w:val="28"/>
          <w14:textFill>
            <w14:solidFill>
              <w14:schemeClr w14:val="tx1"/>
            </w14:solidFill>
          </w14:textFill>
        </w:rPr>
        <w:t>《发电行业</w:t>
      </w:r>
      <w:r>
        <w:rPr>
          <w:rFonts w:ascii="Times New Roman" w:hAnsi="Times New Roman" w:eastAsia="仿宋" w:cs="Times New Roman"/>
          <w:b/>
          <w:bCs/>
          <w:color w:val="000000" w:themeColor="text1"/>
          <w:sz w:val="28"/>
          <w:szCs w:val="28"/>
          <w14:textFill>
            <w14:solidFill>
              <w14:schemeClr w14:val="tx1"/>
            </w14:solidFill>
          </w14:textFill>
        </w:rPr>
        <w:t>MRV</w:t>
      </w:r>
      <w:r>
        <w:rPr>
          <w:rFonts w:hint="eastAsia" w:ascii="Times New Roman" w:hAnsi="Times New Roman" w:eastAsia="仿宋" w:cs="Times New Roman"/>
          <w:b/>
          <w:bCs/>
          <w:color w:val="000000" w:themeColor="text1"/>
          <w:sz w:val="28"/>
          <w:szCs w:val="28"/>
          <w14:textFill>
            <w14:solidFill>
              <w14:schemeClr w14:val="tx1"/>
            </w14:solidFill>
          </w14:textFill>
        </w:rPr>
        <w:t>体系改进建议报告》</w:t>
      </w:r>
    </w:p>
    <w:p w14:paraId="241C922C">
      <w:pPr>
        <w:widowControl/>
        <w:overflowPunct w:val="0"/>
        <w:autoSpaceDE w:val="0"/>
        <w:autoSpaceDN w:val="0"/>
        <w:adjustRightInd w:val="0"/>
        <w:spacing w:line="360" w:lineRule="auto"/>
        <w:ind w:firstLine="560" w:firstLineChars="200"/>
        <w:textAlignment w:val="baseline"/>
        <w:outlineLvl w:val="0"/>
        <w:rPr>
          <w:rFonts w:ascii="Times New Roman" w:hAnsi="Times New Roman" w:eastAsia="仿宋" w:cs="Times New Roman"/>
          <w:sz w:val="28"/>
          <w:szCs w:val="28"/>
        </w:rPr>
      </w:pPr>
      <w:r>
        <w:rPr>
          <w:rFonts w:hint="eastAsia" w:ascii="Times New Roman" w:hAnsi="Times New Roman" w:eastAsia="仿宋" w:cs="Times New Roman"/>
          <w:color w:val="000000" w:themeColor="text1"/>
          <w:sz w:val="28"/>
          <w:szCs w:val="28"/>
          <w14:textFill>
            <w14:solidFill>
              <w14:schemeClr w14:val="tx1"/>
            </w14:solidFill>
          </w14:textFill>
        </w:rPr>
        <w:t>本分包合同所有</w:t>
      </w:r>
      <w:r>
        <w:rPr>
          <w:rFonts w:ascii="Times New Roman" w:hAnsi="Times New Roman" w:eastAsia="仿宋" w:cs="Times New Roman"/>
          <w:color w:val="000000" w:themeColor="text1"/>
          <w:sz w:val="28"/>
          <w:szCs w:val="28"/>
          <w14:textFill>
            <w14:solidFill>
              <w14:schemeClr w14:val="tx1"/>
            </w14:solidFill>
          </w14:textFill>
        </w:rPr>
        <w:t>交付成果</w:t>
      </w:r>
      <w:r>
        <w:rPr>
          <w:rFonts w:hint="eastAsia" w:ascii="Times New Roman" w:hAnsi="Times New Roman" w:eastAsia="仿宋" w:cs="Times New Roman"/>
          <w:sz w:val="28"/>
          <w:szCs w:val="28"/>
        </w:rPr>
        <w:t>应与相关利益方进行磋商，并形成磋商记录及纪要，至少包括：人员、内容及照片。</w:t>
      </w:r>
    </w:p>
    <w:p w14:paraId="241C922D">
      <w:pPr>
        <w:widowControl/>
        <w:overflowPunct w:val="0"/>
        <w:autoSpaceDE w:val="0"/>
        <w:autoSpaceDN w:val="0"/>
        <w:adjustRightInd w:val="0"/>
        <w:spacing w:line="360" w:lineRule="auto"/>
        <w:ind w:firstLine="560" w:firstLineChars="200"/>
        <w:textAlignment w:val="baseline"/>
        <w:outlineLvl w:val="0"/>
        <w:rPr>
          <w:rFonts w:ascii="Times New Roman" w:hAnsi="Times New Roman" w:eastAsia="仿宋" w:cs="Times New Roman"/>
          <w:sz w:val="28"/>
          <w:szCs w:val="28"/>
        </w:rPr>
      </w:pPr>
      <w:r>
        <w:rPr>
          <w:rFonts w:hint="eastAsia" w:ascii="Times New Roman" w:hAnsi="Times New Roman" w:eastAsia="仿宋" w:cs="Times New Roman"/>
          <w:color w:val="000000" w:themeColor="text1"/>
          <w:sz w:val="28"/>
          <w:szCs w:val="28"/>
          <w14:textFill>
            <w14:solidFill>
              <w14:schemeClr w14:val="tx1"/>
            </w14:solidFill>
          </w14:textFill>
        </w:rPr>
        <w:t>本分包合同所有</w:t>
      </w:r>
      <w:r>
        <w:rPr>
          <w:rFonts w:ascii="Times New Roman" w:hAnsi="Times New Roman" w:eastAsia="仿宋" w:cs="Times New Roman"/>
          <w:color w:val="000000" w:themeColor="text1"/>
          <w:sz w:val="28"/>
          <w:szCs w:val="28"/>
          <w14:textFill>
            <w14:solidFill>
              <w14:schemeClr w14:val="tx1"/>
            </w14:solidFill>
          </w14:textFill>
        </w:rPr>
        <w:t>交付成果</w:t>
      </w:r>
      <w:r>
        <w:rPr>
          <w:rFonts w:hint="eastAsia" w:ascii="Times New Roman" w:hAnsi="Times New Roman" w:eastAsia="仿宋" w:cs="Times New Roman"/>
          <w:sz w:val="28"/>
          <w:szCs w:val="28"/>
        </w:rPr>
        <w:t>均须以中英文双语形式提交，如表述出现不一致或矛盾，以中文为准。</w:t>
      </w:r>
    </w:p>
    <w:p w14:paraId="241C922E">
      <w:pPr>
        <w:widowControl/>
        <w:overflowPunct w:val="0"/>
        <w:autoSpaceDE w:val="0"/>
        <w:autoSpaceDN w:val="0"/>
        <w:adjustRightInd w:val="0"/>
        <w:spacing w:line="360" w:lineRule="auto"/>
        <w:ind w:firstLine="560" w:firstLineChars="200"/>
        <w:textAlignment w:val="baseline"/>
        <w:outlineLvl w:val="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本</w:t>
      </w:r>
      <w:r>
        <w:rPr>
          <w:rFonts w:hint="eastAsia" w:ascii="Times New Roman" w:hAnsi="Times New Roman" w:eastAsia="仿宋" w:cs="Times New Roman"/>
          <w:color w:val="000000" w:themeColor="text1"/>
          <w:sz w:val="28"/>
          <w:szCs w:val="28"/>
          <w14:textFill>
            <w14:solidFill>
              <w14:schemeClr w14:val="tx1"/>
            </w14:solidFill>
          </w14:textFill>
        </w:rPr>
        <w:t>分包</w:t>
      </w:r>
      <w:r>
        <w:rPr>
          <w:rFonts w:ascii="Times New Roman" w:hAnsi="Times New Roman" w:eastAsia="仿宋" w:cs="Times New Roman"/>
          <w:color w:val="000000" w:themeColor="text1"/>
          <w:sz w:val="28"/>
          <w:szCs w:val="28"/>
          <w14:textFill>
            <w14:solidFill>
              <w14:schemeClr w14:val="tx1"/>
            </w14:solidFill>
          </w14:textFill>
        </w:rPr>
        <w:t>合同的交付成果将为实现以下</w:t>
      </w:r>
      <w:r>
        <w:rPr>
          <w:rFonts w:hint="eastAsia" w:ascii="Times New Roman" w:hAnsi="Times New Roman" w:eastAsia="仿宋" w:cs="Times New Roman"/>
          <w:color w:val="000000" w:themeColor="text1"/>
          <w:sz w:val="28"/>
          <w:szCs w:val="28"/>
          <w14:textFill>
            <w14:solidFill>
              <w14:schemeClr w14:val="tx1"/>
            </w14:solidFill>
          </w14:textFill>
        </w:rPr>
        <w:t>项目文件</w:t>
      </w:r>
      <w:r>
        <w:rPr>
          <w:rStyle w:val="27"/>
          <w:rFonts w:ascii="Times New Roman" w:hAnsi="Times New Roman" w:eastAsia="仿宋" w:cs="Times New Roman"/>
          <w:color w:val="000000" w:themeColor="text1"/>
          <w:sz w:val="28"/>
          <w:szCs w:val="28"/>
          <w14:textFill>
            <w14:solidFill>
              <w14:schemeClr w14:val="tx1"/>
            </w14:solidFill>
          </w14:textFill>
        </w:rPr>
        <w:footnoteReference w:id="5"/>
      </w:r>
      <w:r>
        <w:rPr>
          <w:rFonts w:hint="eastAsia" w:ascii="Times New Roman" w:hAnsi="Times New Roman" w:eastAsia="仿宋" w:cs="Times New Roman"/>
          <w:color w:val="000000" w:themeColor="text1"/>
          <w:sz w:val="28"/>
          <w:szCs w:val="28"/>
          <w14:textFill>
            <w14:solidFill>
              <w14:schemeClr w14:val="tx1"/>
            </w14:solidFill>
          </w14:textFill>
        </w:rPr>
        <w:t>中的项目开发目标（</w:t>
      </w:r>
      <w:r>
        <w:rPr>
          <w:rFonts w:ascii="Times New Roman" w:hAnsi="Times New Roman" w:eastAsia="仿宋" w:cs="Times New Roman"/>
          <w:color w:val="000000" w:themeColor="text1"/>
          <w:sz w:val="28"/>
          <w:szCs w:val="28"/>
          <w14:textFill>
            <w14:solidFill>
              <w14:schemeClr w14:val="tx1"/>
            </w14:solidFill>
          </w14:textFill>
        </w:rPr>
        <w:t>PDO</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及中期指标作出贡献</w:t>
      </w:r>
      <w:r>
        <w:rPr>
          <w:rFonts w:hint="eastAsia" w:ascii="Times New Roman" w:hAnsi="Times New Roman" w:eastAsia="仿宋" w:cs="Times New Roman"/>
          <w:color w:val="000000" w:themeColor="text1"/>
          <w:sz w:val="28"/>
          <w:szCs w:val="28"/>
          <w14:textFill>
            <w14:solidFill>
              <w14:schemeClr w14:val="tx1"/>
            </w14:solidFill>
          </w14:textFill>
        </w:rPr>
        <w:t>：</w:t>
      </w:r>
    </w:p>
    <w:tbl>
      <w:tblPr>
        <w:tblStyle w:val="21"/>
        <w:tblW w:w="85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4763"/>
        <w:gridCol w:w="1845"/>
      </w:tblGrid>
      <w:tr w14:paraId="241C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1913" w:type="dxa"/>
            <w:tcBorders>
              <w:tl2br w:val="nil"/>
              <w:tr2bl w:val="nil"/>
            </w:tcBorders>
            <w:vAlign w:val="center"/>
          </w:tcPr>
          <w:p w14:paraId="241C922F">
            <w:pPr>
              <w:pStyle w:val="2"/>
              <w:ind w:firstLine="0"/>
              <w:jc w:val="center"/>
              <w:rPr>
                <w:rFonts w:eastAsia="仿宋"/>
                <w:b/>
                <w:bCs/>
                <w:sz w:val="24"/>
                <w:szCs w:val="24"/>
              </w:rPr>
            </w:pPr>
            <w:r>
              <w:rPr>
                <w:rFonts w:hint="eastAsia" w:eastAsia="仿宋"/>
                <w:b/>
                <w:bCs/>
                <w:sz w:val="24"/>
                <w:szCs w:val="24"/>
              </w:rPr>
              <w:t>预期交付成果</w:t>
            </w:r>
          </w:p>
        </w:tc>
        <w:tc>
          <w:tcPr>
            <w:tcW w:w="4763" w:type="dxa"/>
            <w:tcBorders>
              <w:tl2br w:val="nil"/>
              <w:tr2bl w:val="nil"/>
            </w:tcBorders>
            <w:vAlign w:val="center"/>
          </w:tcPr>
          <w:p w14:paraId="241C9230">
            <w:pPr>
              <w:pStyle w:val="2"/>
              <w:ind w:firstLine="0"/>
              <w:jc w:val="center"/>
              <w:rPr>
                <w:rFonts w:eastAsia="仿宋"/>
                <w:b/>
                <w:bCs/>
                <w:sz w:val="24"/>
                <w:szCs w:val="24"/>
              </w:rPr>
            </w:pPr>
            <w:r>
              <w:rPr>
                <w:rFonts w:hint="eastAsia" w:eastAsia="仿宋"/>
                <w:b/>
                <w:bCs/>
                <w:sz w:val="24"/>
                <w:szCs w:val="24"/>
              </w:rPr>
              <w:t>指标</w:t>
            </w:r>
          </w:p>
        </w:tc>
        <w:tc>
          <w:tcPr>
            <w:tcW w:w="1845" w:type="dxa"/>
            <w:tcBorders>
              <w:tl2br w:val="nil"/>
              <w:tr2bl w:val="nil"/>
            </w:tcBorders>
            <w:vAlign w:val="center"/>
          </w:tcPr>
          <w:p w14:paraId="241C9231">
            <w:pPr>
              <w:pStyle w:val="2"/>
              <w:ind w:firstLine="0"/>
              <w:jc w:val="center"/>
              <w:rPr>
                <w:rFonts w:eastAsia="仿宋"/>
                <w:b/>
                <w:bCs/>
                <w:sz w:val="24"/>
                <w:szCs w:val="24"/>
              </w:rPr>
            </w:pPr>
            <w:r>
              <w:rPr>
                <w:rFonts w:hint="eastAsia" w:eastAsia="仿宋"/>
                <w:b/>
                <w:bCs/>
                <w:sz w:val="24"/>
                <w:szCs w:val="24"/>
              </w:rPr>
              <w:t>贡献类型</w:t>
            </w:r>
          </w:p>
        </w:tc>
      </w:tr>
      <w:tr w14:paraId="241C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3" w:type="dxa"/>
            <w:tcBorders>
              <w:tl2br w:val="nil"/>
              <w:tr2bl w:val="nil"/>
            </w:tcBorders>
            <w:vAlign w:val="center"/>
          </w:tcPr>
          <w:p w14:paraId="241C9237">
            <w:pPr>
              <w:pStyle w:val="2"/>
              <w:ind w:firstLine="0"/>
              <w:jc w:val="center"/>
              <w:rPr>
                <w:rFonts w:eastAsia="仿宋"/>
                <w:sz w:val="24"/>
                <w:szCs w:val="24"/>
              </w:rPr>
            </w:pPr>
            <w:r>
              <w:rPr>
                <w:rFonts w:hint="eastAsia" w:eastAsia="仿宋"/>
                <w:sz w:val="24"/>
                <w:szCs w:val="24"/>
              </w:rPr>
              <w:t>交付成果</w:t>
            </w:r>
            <w:r>
              <w:rPr>
                <w:rFonts w:eastAsia="仿宋"/>
                <w:sz w:val="24"/>
                <w:szCs w:val="24"/>
              </w:rPr>
              <w:t>4.2</w:t>
            </w:r>
            <w:r>
              <w:rPr>
                <w:rFonts w:hint="eastAsia" w:eastAsia="仿宋"/>
                <w:sz w:val="24"/>
                <w:szCs w:val="24"/>
              </w:rPr>
              <w:t>、</w:t>
            </w:r>
            <w:r>
              <w:rPr>
                <w:rFonts w:eastAsia="仿宋"/>
                <w:sz w:val="24"/>
                <w:szCs w:val="24"/>
              </w:rPr>
              <w:t>4.3</w:t>
            </w:r>
          </w:p>
        </w:tc>
        <w:tc>
          <w:tcPr>
            <w:tcW w:w="4763" w:type="dxa"/>
            <w:tcBorders>
              <w:tl2br w:val="nil"/>
              <w:tr2bl w:val="nil"/>
            </w:tcBorders>
            <w:vAlign w:val="center"/>
          </w:tcPr>
          <w:p w14:paraId="241C9238">
            <w:pPr>
              <w:pStyle w:val="2"/>
              <w:ind w:firstLine="0"/>
              <w:jc w:val="left"/>
              <w:rPr>
                <w:rFonts w:eastAsia="仿宋"/>
                <w:sz w:val="24"/>
                <w:szCs w:val="24"/>
              </w:rPr>
            </w:pPr>
            <w:r>
              <w:rPr>
                <w:rFonts w:hint="eastAsia" w:eastAsia="仿宋"/>
                <w:sz w:val="24"/>
                <w:szCs w:val="24"/>
              </w:rPr>
              <w:t>项目文件</w:t>
            </w:r>
            <w:r>
              <w:rPr>
                <w:rFonts w:eastAsia="仿宋"/>
                <w:sz w:val="24"/>
                <w:szCs w:val="24"/>
              </w:rPr>
              <w:t>PDO</w:t>
            </w:r>
            <w:r>
              <w:rPr>
                <w:rFonts w:hint="eastAsia" w:eastAsia="仿宋"/>
                <w:sz w:val="24"/>
                <w:szCs w:val="24"/>
              </w:rPr>
              <w:t>指标</w:t>
            </w:r>
            <w:r>
              <w:rPr>
                <w:rFonts w:eastAsia="仿宋"/>
                <w:sz w:val="24"/>
                <w:szCs w:val="24"/>
              </w:rPr>
              <w:t>2</w:t>
            </w:r>
            <w:r>
              <w:rPr>
                <w:rFonts w:hint="eastAsia" w:eastAsia="仿宋"/>
                <w:sz w:val="24"/>
                <w:szCs w:val="24"/>
              </w:rPr>
              <w:t>——完成</w:t>
            </w:r>
            <w:r>
              <w:rPr>
                <w:rFonts w:eastAsia="仿宋"/>
                <w:sz w:val="24"/>
                <w:szCs w:val="24"/>
              </w:rPr>
              <w:t>3</w:t>
            </w:r>
            <w:r>
              <w:rPr>
                <w:rFonts w:hint="eastAsia" w:eastAsia="仿宋"/>
                <w:sz w:val="24"/>
                <w:szCs w:val="24"/>
              </w:rPr>
              <w:t>个新增行业共计</w:t>
            </w:r>
            <w:r>
              <w:rPr>
                <w:rFonts w:eastAsia="仿宋"/>
                <w:sz w:val="24"/>
                <w:szCs w:val="24"/>
              </w:rPr>
              <w:t>6</w:t>
            </w:r>
            <w:r>
              <w:rPr>
                <w:rFonts w:hint="eastAsia" w:eastAsia="仿宋"/>
                <w:sz w:val="24"/>
                <w:szCs w:val="24"/>
              </w:rPr>
              <w:t>项技术指南（草案及终稿）的编制，并通过生态环境部官网发布</w:t>
            </w:r>
          </w:p>
        </w:tc>
        <w:tc>
          <w:tcPr>
            <w:tcW w:w="1845" w:type="dxa"/>
            <w:tcBorders>
              <w:tl2br w:val="nil"/>
              <w:tr2bl w:val="nil"/>
            </w:tcBorders>
            <w:vAlign w:val="center"/>
          </w:tcPr>
          <w:p w14:paraId="241C9239">
            <w:pPr>
              <w:pStyle w:val="2"/>
              <w:ind w:firstLine="0"/>
              <w:jc w:val="center"/>
              <w:rPr>
                <w:rFonts w:eastAsia="仿宋"/>
                <w:sz w:val="24"/>
                <w:szCs w:val="24"/>
              </w:rPr>
            </w:pPr>
            <w:r>
              <w:rPr>
                <w:rFonts w:hint="eastAsia" w:eastAsia="仿宋"/>
                <w:sz w:val="24"/>
                <w:szCs w:val="24"/>
              </w:rPr>
              <w:t>间接贡献</w:t>
            </w:r>
          </w:p>
        </w:tc>
      </w:tr>
    </w:tbl>
    <w:p w14:paraId="241C923B">
      <w:pPr>
        <w:spacing w:line="360" w:lineRule="auto"/>
        <w:rPr>
          <w:rFonts w:ascii="Times New Roman" w:hAnsi="Times New Roman" w:eastAsia="宋体" w:cs="Times New Roman"/>
          <w:sz w:val="24"/>
          <w:szCs w:val="24"/>
        </w:rPr>
      </w:pPr>
    </w:p>
    <w:p w14:paraId="241C923C">
      <w:pPr>
        <w:pStyle w:val="3"/>
        <w:keepNext w:val="0"/>
        <w:keepLines w:val="0"/>
        <w:snapToGrid/>
        <w:spacing w:before="0" w:after="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五、时间安排及交付周期</w:t>
      </w:r>
    </w:p>
    <w:p w14:paraId="241C923D">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本</w:t>
      </w:r>
      <w:r>
        <w:rPr>
          <w:rFonts w:hint="eastAsia" w:ascii="Times New Roman" w:hAnsi="Times New Roman" w:eastAsia="仿宋" w:cs="Times New Roman"/>
          <w:sz w:val="28"/>
          <w:szCs w:val="28"/>
        </w:rPr>
        <w:t>分包</w:t>
      </w:r>
      <w:r>
        <w:rPr>
          <w:rFonts w:ascii="Times New Roman" w:hAnsi="Times New Roman" w:eastAsia="仿宋" w:cs="Times New Roman"/>
          <w:sz w:val="28"/>
          <w:szCs w:val="28"/>
        </w:rPr>
        <w:t>合同的主要任务应在10个月内完成，所有关键交付成果须在</w:t>
      </w:r>
      <w:r>
        <w:rPr>
          <w:rFonts w:hint="eastAsia" w:ascii="Times New Roman" w:hAnsi="Times New Roman" w:eastAsia="仿宋" w:cs="Times New Roman"/>
          <w:sz w:val="28"/>
          <w:szCs w:val="28"/>
        </w:rPr>
        <w:t>6</w:t>
      </w:r>
      <w:r>
        <w:rPr>
          <w:rFonts w:ascii="Times New Roman" w:hAnsi="Times New Roman" w:eastAsia="仿宋" w:cs="Times New Roman"/>
          <w:sz w:val="28"/>
          <w:szCs w:val="28"/>
        </w:rPr>
        <w:t>个月内提交。为确保交付成果的质量，</w:t>
      </w:r>
      <w:r>
        <w:rPr>
          <w:rFonts w:hint="eastAsia" w:ascii="Times New Roman" w:hAnsi="Times New Roman" w:eastAsia="仿宋" w:cs="Times New Roman"/>
          <w:sz w:val="28"/>
          <w:szCs w:val="28"/>
        </w:rPr>
        <w:t>分包</w:t>
      </w:r>
      <w:r>
        <w:rPr>
          <w:rFonts w:ascii="Times New Roman" w:hAnsi="Times New Roman" w:eastAsia="仿宋" w:cs="Times New Roman"/>
          <w:sz w:val="28"/>
          <w:szCs w:val="28"/>
        </w:rPr>
        <w:t>合同承担</w:t>
      </w:r>
      <w:r>
        <w:rPr>
          <w:rFonts w:hint="eastAsia" w:ascii="Times New Roman" w:hAnsi="Times New Roman" w:eastAsia="仿宋" w:cs="Times New Roman"/>
          <w:sz w:val="28"/>
          <w:szCs w:val="28"/>
        </w:rPr>
        <w:t>单位</w:t>
      </w:r>
      <w:r>
        <w:rPr>
          <w:rFonts w:ascii="Times New Roman" w:hAnsi="Times New Roman" w:eastAsia="仿宋" w:cs="Times New Roman"/>
          <w:sz w:val="28"/>
          <w:szCs w:val="28"/>
        </w:rPr>
        <w:t>应秉持积极的协作精神，根据PMO的要求，对交付成果进行更新、完善与优化，并提供相关技术支持。</w:t>
      </w:r>
    </w:p>
    <w:p w14:paraId="241C923E">
      <w:pPr>
        <w:ind w:firstLine="560" w:firstLineChars="200"/>
        <w:rPr>
          <w:rFonts w:ascii="Times New Roman" w:hAnsi="Times New Roman" w:eastAsia="宋体" w:cs="Times New Roman"/>
          <w:sz w:val="24"/>
          <w:szCs w:val="24"/>
        </w:rPr>
      </w:pPr>
      <w:r>
        <w:rPr>
          <w:rFonts w:ascii="Times New Roman" w:hAnsi="Times New Roman" w:eastAsia="仿宋" w:cs="Times New Roman"/>
          <w:sz w:val="28"/>
          <w:szCs w:val="28"/>
        </w:rPr>
        <w:t>本</w:t>
      </w:r>
      <w:r>
        <w:rPr>
          <w:rFonts w:hint="eastAsia" w:ascii="Times New Roman" w:hAnsi="Times New Roman" w:eastAsia="仿宋" w:cs="Times New Roman"/>
          <w:sz w:val="28"/>
          <w:szCs w:val="28"/>
        </w:rPr>
        <w:t>分包</w:t>
      </w:r>
      <w:r>
        <w:rPr>
          <w:rFonts w:ascii="Times New Roman" w:hAnsi="Times New Roman" w:eastAsia="仿宋" w:cs="Times New Roman"/>
          <w:sz w:val="28"/>
          <w:szCs w:val="28"/>
        </w:rPr>
        <w:t>合同的款项将分为3</w:t>
      </w:r>
      <w:r>
        <w:rPr>
          <w:rFonts w:hint="eastAsia" w:ascii="Times New Roman" w:hAnsi="Times New Roman" w:eastAsia="仿宋" w:cs="Times New Roman"/>
          <w:sz w:val="28"/>
          <w:szCs w:val="28"/>
        </w:rPr>
        <w:t>笔</w:t>
      </w:r>
      <w:r>
        <w:rPr>
          <w:rFonts w:ascii="Times New Roman" w:hAnsi="Times New Roman" w:eastAsia="仿宋" w:cs="Times New Roman"/>
          <w:sz w:val="28"/>
          <w:szCs w:val="28"/>
        </w:rPr>
        <w:t>支付。承担</w:t>
      </w:r>
      <w:r>
        <w:rPr>
          <w:rFonts w:hint="eastAsia" w:ascii="Times New Roman" w:hAnsi="Times New Roman" w:eastAsia="仿宋" w:cs="Times New Roman"/>
          <w:sz w:val="28"/>
          <w:szCs w:val="28"/>
        </w:rPr>
        <w:t>单位</w:t>
      </w:r>
      <w:r>
        <w:rPr>
          <w:rFonts w:ascii="Times New Roman" w:hAnsi="Times New Roman" w:eastAsia="仿宋" w:cs="Times New Roman"/>
          <w:sz w:val="28"/>
          <w:szCs w:val="28"/>
        </w:rPr>
        <w:t>在提交下表中各期付款所要求的全部文件，且文件经PMO技术评审并通过专家评审会议满意验收后，方可获得相应款项。交付成果提交及付款的具体时间建议如下</w:t>
      </w:r>
      <w:r>
        <w:rPr>
          <w:rFonts w:hint="eastAsia" w:ascii="Times New Roman" w:hAnsi="Times New Roman" w:eastAsia="仿宋" w:cs="Times New Roman"/>
          <w:sz w:val="28"/>
          <w:szCs w:val="28"/>
        </w:rPr>
        <w:t>：</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4619"/>
        <w:gridCol w:w="1761"/>
        <w:gridCol w:w="1333"/>
      </w:tblGrid>
      <w:tr w14:paraId="241C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blHeader/>
        </w:trPr>
        <w:tc>
          <w:tcPr>
            <w:tcW w:w="473" w:type="pct"/>
            <w:vAlign w:val="center"/>
          </w:tcPr>
          <w:p w14:paraId="241C923F">
            <w:pPr>
              <w:spacing w:before="156" w:beforeLines="50" w:after="156" w:afterLines="50"/>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序号</w:t>
            </w:r>
          </w:p>
        </w:tc>
        <w:tc>
          <w:tcPr>
            <w:tcW w:w="2710" w:type="pct"/>
            <w:vAlign w:val="center"/>
          </w:tcPr>
          <w:p w14:paraId="241C9240">
            <w:pPr>
              <w:spacing w:before="156" w:beforeLines="50" w:after="156" w:afterLines="50"/>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交付成果及进度</w:t>
            </w:r>
          </w:p>
        </w:tc>
        <w:tc>
          <w:tcPr>
            <w:tcW w:w="1033" w:type="pct"/>
            <w:vAlign w:val="center"/>
          </w:tcPr>
          <w:p w14:paraId="241C9241">
            <w:pPr>
              <w:spacing w:before="156" w:beforeLines="50" w:after="156" w:afterLines="50"/>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预计交付时间</w:t>
            </w:r>
          </w:p>
        </w:tc>
        <w:tc>
          <w:tcPr>
            <w:tcW w:w="782" w:type="pct"/>
            <w:vAlign w:val="center"/>
          </w:tcPr>
          <w:p w14:paraId="241C9242">
            <w:pPr>
              <w:spacing w:before="156" w:beforeLines="50" w:after="156" w:afterLines="50"/>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支付比例</w:t>
            </w:r>
            <w:r>
              <w:rPr>
                <w:rFonts w:ascii="Times New Roman" w:hAnsi="Times New Roman" w:eastAsia="仿宋" w:cs="Times New Roman"/>
                <w:b/>
                <w:bCs/>
                <w:sz w:val="24"/>
                <w:szCs w:val="24"/>
              </w:rPr>
              <w:t xml:space="preserve"> </w:t>
            </w:r>
          </w:p>
        </w:tc>
      </w:tr>
      <w:tr w14:paraId="241C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3" w:type="pct"/>
            <w:vAlign w:val="center"/>
          </w:tcPr>
          <w:p w14:paraId="241C9244">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2710" w:type="pct"/>
            <w:vAlign w:val="center"/>
          </w:tcPr>
          <w:p w14:paraId="241C9245">
            <w:pPr>
              <w:pStyle w:val="41"/>
              <w:numPr>
                <w:ilvl w:val="0"/>
                <w:numId w:val="1"/>
              </w:numPr>
              <w:spacing w:before="156" w:beforeLines="50" w:after="156" w:afterLines="50"/>
              <w:rPr>
                <w:rFonts w:ascii="Times New Roman" w:hAnsi="Times New Roman" w:eastAsia="仿宋" w:cs="Times New Roman"/>
                <w:sz w:val="24"/>
              </w:rPr>
            </w:pPr>
            <w:r>
              <w:rPr>
                <w:rFonts w:ascii="Times New Roman" w:hAnsi="Times New Roman" w:eastAsia="仿宋" w:cs="Times New Roman"/>
                <w:sz w:val="24"/>
              </w:rPr>
              <w:t>详细</w:t>
            </w:r>
            <w:r>
              <w:rPr>
                <w:rFonts w:hint="eastAsia" w:ascii="Times New Roman" w:hAnsi="Times New Roman" w:eastAsia="仿宋" w:cs="Times New Roman"/>
                <w:sz w:val="24"/>
              </w:rPr>
              <w:t>的分包任务</w:t>
            </w:r>
            <w:r>
              <w:rPr>
                <w:rFonts w:ascii="Times New Roman" w:hAnsi="Times New Roman" w:eastAsia="仿宋" w:cs="Times New Roman"/>
                <w:sz w:val="24"/>
              </w:rPr>
              <w:t>实施方案</w:t>
            </w:r>
            <w:r>
              <w:rPr>
                <w:rFonts w:hint="eastAsia" w:ascii="Times New Roman" w:hAnsi="Times New Roman" w:eastAsia="仿宋" w:cs="Times New Roman"/>
                <w:sz w:val="24"/>
              </w:rPr>
              <w:t>（含详细研究方案、工作计划及研究报告大纲）</w:t>
            </w:r>
          </w:p>
        </w:tc>
        <w:tc>
          <w:tcPr>
            <w:tcW w:w="1033" w:type="pct"/>
            <w:vAlign w:val="center"/>
          </w:tcPr>
          <w:p w14:paraId="241C9246">
            <w:pPr>
              <w:spacing w:before="156" w:beforeLines="50" w:after="156" w:afterLines="5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合同签署后</w:t>
            </w:r>
            <w:r>
              <w:rPr>
                <w:rFonts w:ascii="Times New Roman" w:hAnsi="Times New Roman" w:eastAsia="仿宋" w:cs="Times New Roman"/>
                <w:sz w:val="24"/>
                <w:szCs w:val="24"/>
              </w:rPr>
              <w:t>2</w:t>
            </w:r>
            <w:r>
              <w:rPr>
                <w:rFonts w:hint="eastAsia" w:ascii="Times New Roman" w:hAnsi="Times New Roman" w:eastAsia="仿宋" w:cs="Times New Roman"/>
                <w:sz w:val="24"/>
                <w:szCs w:val="24"/>
              </w:rPr>
              <w:t>个月内</w:t>
            </w:r>
          </w:p>
        </w:tc>
        <w:tc>
          <w:tcPr>
            <w:tcW w:w="782" w:type="pct"/>
            <w:vAlign w:val="center"/>
          </w:tcPr>
          <w:p w14:paraId="241C9247">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15%</w:t>
            </w:r>
          </w:p>
        </w:tc>
      </w:tr>
      <w:tr w14:paraId="241C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3" w:type="pct"/>
            <w:vAlign w:val="center"/>
          </w:tcPr>
          <w:p w14:paraId="241C9249">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2710" w:type="pct"/>
            <w:vAlign w:val="center"/>
          </w:tcPr>
          <w:p w14:paraId="241C924A">
            <w:pPr>
              <w:pStyle w:val="41"/>
              <w:numPr>
                <w:ilvl w:val="0"/>
                <w:numId w:val="2"/>
              </w:numPr>
              <w:spacing w:before="156" w:beforeLines="50" w:after="156" w:afterLines="50"/>
              <w:rPr>
                <w:rFonts w:ascii="Times New Roman" w:hAnsi="Times New Roman" w:eastAsia="仿宋" w:cs="Times New Roman"/>
                <w:color w:val="000000" w:themeColor="text1"/>
                <w:sz w:val="24"/>
                <w14:textFill>
                  <w14:solidFill>
                    <w14:schemeClr w14:val="tx1"/>
                  </w14:solidFill>
                </w14:textFill>
              </w:rPr>
            </w:pPr>
            <w:r>
              <w:rPr>
                <w:rFonts w:hint="eastAsia" w:ascii="Times New Roman" w:hAnsi="Times New Roman" w:eastAsia="仿宋" w:cs="Times New Roman"/>
                <w:color w:val="000000" w:themeColor="text1"/>
                <w:sz w:val="24"/>
                <w14:textFill>
                  <w14:solidFill>
                    <w14:schemeClr w14:val="tx1"/>
                  </w14:solidFill>
                </w14:textFill>
              </w:rPr>
              <w:t>交付成果</w:t>
            </w:r>
            <w:r>
              <w:rPr>
                <w:rFonts w:ascii="Times New Roman" w:hAnsi="Times New Roman" w:eastAsia="仿宋" w:cs="Times New Roman"/>
                <w:color w:val="000000" w:themeColor="text1"/>
                <w:sz w:val="24"/>
                <w14:textFill>
                  <w14:solidFill>
                    <w14:schemeClr w14:val="tx1"/>
                  </w14:solidFill>
                </w14:textFill>
              </w:rPr>
              <w:t>4.1</w:t>
            </w:r>
            <w:r>
              <w:rPr>
                <w:rFonts w:hint="eastAsia" w:ascii="Times New Roman" w:hAnsi="Times New Roman" w:eastAsia="仿宋" w:cs="Times New Roman"/>
                <w:color w:val="000000" w:themeColor="text1"/>
                <w:sz w:val="24"/>
                <w14:textFill>
                  <w14:solidFill>
                    <w14:schemeClr w14:val="tx1"/>
                  </w14:solidFill>
                </w14:textFill>
              </w:rPr>
              <w:t>、交付成果</w:t>
            </w:r>
            <w:r>
              <w:rPr>
                <w:rFonts w:ascii="Times New Roman" w:hAnsi="Times New Roman" w:eastAsia="仿宋" w:cs="Times New Roman"/>
                <w:color w:val="000000" w:themeColor="text1"/>
                <w:sz w:val="24"/>
                <w14:textFill>
                  <w14:solidFill>
                    <w14:schemeClr w14:val="tx1"/>
                  </w14:solidFill>
                </w14:textFill>
              </w:rPr>
              <w:t>4.2</w:t>
            </w:r>
            <w:r>
              <w:rPr>
                <w:rFonts w:hint="eastAsia" w:ascii="Times New Roman" w:hAnsi="Times New Roman" w:eastAsia="仿宋" w:cs="Times New Roman"/>
                <w:color w:val="000000" w:themeColor="text1"/>
                <w:sz w:val="24"/>
                <w14:textFill>
                  <w14:solidFill>
                    <w14:schemeClr w14:val="tx1"/>
                  </w14:solidFill>
                </w14:textFill>
              </w:rPr>
              <w:t>、交付成果</w:t>
            </w:r>
            <w:r>
              <w:rPr>
                <w:rFonts w:ascii="Times New Roman" w:hAnsi="Times New Roman" w:eastAsia="仿宋" w:cs="Times New Roman"/>
                <w:color w:val="000000" w:themeColor="text1"/>
                <w:sz w:val="24"/>
                <w14:textFill>
                  <w14:solidFill>
                    <w14:schemeClr w14:val="tx1"/>
                  </w14:solidFill>
                </w14:textFill>
              </w:rPr>
              <w:t>4.3</w:t>
            </w:r>
            <w:r>
              <w:rPr>
                <w:rFonts w:hint="eastAsia" w:ascii="Times New Roman" w:hAnsi="Times New Roman" w:eastAsia="仿宋" w:cs="Times New Roman"/>
                <w:color w:val="000000" w:themeColor="text1"/>
                <w:sz w:val="24"/>
                <w14:textFill>
                  <w14:solidFill>
                    <w14:schemeClr w14:val="tx1"/>
                  </w14:solidFill>
                </w14:textFill>
              </w:rPr>
              <w:t>初稿</w:t>
            </w:r>
          </w:p>
        </w:tc>
        <w:tc>
          <w:tcPr>
            <w:tcW w:w="1033" w:type="pct"/>
            <w:vAlign w:val="center"/>
          </w:tcPr>
          <w:p w14:paraId="241C924B">
            <w:pPr>
              <w:spacing w:before="156" w:beforeLines="50" w:after="156" w:afterLines="50"/>
              <w:jc w:val="center"/>
              <w:rPr>
                <w:rFonts w:ascii="Times New Roman" w:hAnsi="Times New Roman" w:eastAsia="仿宋" w:cs="Times New Roman"/>
                <w:sz w:val="24"/>
                <w:szCs w:val="24"/>
              </w:rPr>
            </w:pPr>
            <w:r>
              <w:rPr>
                <w:rFonts w:hint="eastAsia" w:ascii="Times New Roman" w:hAnsi="Times New Roman" w:eastAsia="仿宋" w:cs="Times New Roman"/>
                <w:sz w:val="24"/>
              </w:rPr>
              <w:t>合同签署后6个月内</w:t>
            </w:r>
          </w:p>
        </w:tc>
        <w:tc>
          <w:tcPr>
            <w:tcW w:w="782" w:type="pct"/>
            <w:vAlign w:val="center"/>
          </w:tcPr>
          <w:p w14:paraId="241C924C">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50%</w:t>
            </w:r>
          </w:p>
        </w:tc>
      </w:tr>
      <w:tr w14:paraId="241C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3" w:type="pct"/>
            <w:vAlign w:val="center"/>
          </w:tcPr>
          <w:p w14:paraId="241C924E">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2710" w:type="pct"/>
            <w:vAlign w:val="center"/>
          </w:tcPr>
          <w:p w14:paraId="241C924F">
            <w:pPr>
              <w:pStyle w:val="41"/>
              <w:numPr>
                <w:ilvl w:val="0"/>
                <w:numId w:val="3"/>
              </w:numPr>
              <w:spacing w:before="156" w:beforeLines="50" w:after="156" w:afterLines="50"/>
              <w:rPr>
                <w:rFonts w:ascii="Times New Roman" w:hAnsi="Times New Roman" w:eastAsia="仿宋" w:cs="Times New Roman"/>
                <w:sz w:val="24"/>
              </w:rPr>
            </w:pPr>
            <w:r>
              <w:rPr>
                <w:rFonts w:hint="eastAsia" w:ascii="Times New Roman" w:hAnsi="Times New Roman" w:eastAsia="仿宋" w:cs="Times New Roman"/>
                <w:sz w:val="24"/>
              </w:rPr>
              <w:t>上述所有最终报告</w:t>
            </w:r>
          </w:p>
        </w:tc>
        <w:tc>
          <w:tcPr>
            <w:tcW w:w="1033" w:type="pct"/>
            <w:vAlign w:val="center"/>
          </w:tcPr>
          <w:p w14:paraId="241C9250">
            <w:pPr>
              <w:spacing w:before="156" w:beforeLines="50" w:after="156" w:afterLines="50"/>
              <w:jc w:val="center"/>
              <w:rPr>
                <w:rFonts w:ascii="Times New Roman" w:hAnsi="Times New Roman" w:eastAsia="仿宋" w:cs="Times New Roman"/>
                <w:sz w:val="24"/>
                <w:szCs w:val="24"/>
              </w:rPr>
            </w:pPr>
            <w:r>
              <w:rPr>
                <w:rFonts w:hint="eastAsia" w:ascii="Times New Roman" w:hAnsi="Times New Roman" w:eastAsia="仿宋" w:cs="Times New Roman"/>
                <w:sz w:val="24"/>
              </w:rPr>
              <w:t>合同签署后</w:t>
            </w:r>
            <w:r>
              <w:rPr>
                <w:rFonts w:ascii="Times New Roman" w:hAnsi="Times New Roman" w:eastAsia="仿宋" w:cs="Times New Roman"/>
                <w:sz w:val="24"/>
              </w:rPr>
              <w:t>9</w:t>
            </w:r>
            <w:r>
              <w:rPr>
                <w:rFonts w:hint="eastAsia" w:ascii="Times New Roman" w:hAnsi="Times New Roman" w:eastAsia="仿宋" w:cs="Times New Roman"/>
                <w:sz w:val="24"/>
              </w:rPr>
              <w:t>个月内</w:t>
            </w:r>
          </w:p>
        </w:tc>
        <w:tc>
          <w:tcPr>
            <w:tcW w:w="782" w:type="pct"/>
            <w:vAlign w:val="center"/>
          </w:tcPr>
          <w:p w14:paraId="241C9251">
            <w:pPr>
              <w:spacing w:before="156" w:beforeLines="50" w:after="156" w:afterLines="50"/>
              <w:jc w:val="center"/>
              <w:rPr>
                <w:rFonts w:ascii="Times New Roman" w:hAnsi="Times New Roman" w:eastAsia="仿宋" w:cs="Times New Roman"/>
                <w:sz w:val="24"/>
                <w:szCs w:val="24"/>
              </w:rPr>
            </w:pPr>
            <w:r>
              <w:rPr>
                <w:rFonts w:ascii="Times New Roman" w:hAnsi="Times New Roman" w:eastAsia="仿宋" w:cs="Times New Roman"/>
                <w:sz w:val="24"/>
                <w:szCs w:val="24"/>
              </w:rPr>
              <w:t>35%</w:t>
            </w:r>
          </w:p>
        </w:tc>
      </w:tr>
    </w:tbl>
    <w:p w14:paraId="241C9253">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承担单位</w:t>
      </w:r>
      <w:r>
        <w:rPr>
          <w:rFonts w:ascii="Times New Roman" w:hAnsi="Times New Roman" w:eastAsia="仿宋" w:cs="Times New Roman"/>
          <w:sz w:val="28"/>
          <w:szCs w:val="28"/>
        </w:rPr>
        <w:t>应在项目建议书中制定详细的项目时间表，明确各项交付成果的提交时间安排。交付成果提交及付款的最终时间安排以合同条款与条件为准。</w:t>
      </w:r>
    </w:p>
    <w:p w14:paraId="241C9254">
      <w:pPr>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根据分包合同实施的实际情况，经双方协商一致，可对合同进行适当的修订或续签。</w:t>
      </w:r>
    </w:p>
    <w:p w14:paraId="241C9255">
      <w:pPr>
        <w:pStyle w:val="3"/>
        <w:keepNext w:val="0"/>
        <w:keepLines w:val="0"/>
        <w:snapToGrid/>
        <w:spacing w:before="0" w:after="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六、咨询服务单位资质及团队要求</w:t>
      </w:r>
    </w:p>
    <w:p w14:paraId="241C9256">
      <w:pPr>
        <w:widowControl/>
        <w:overflowPunct w:val="0"/>
        <w:autoSpaceDE w:val="0"/>
        <w:autoSpaceDN w:val="0"/>
        <w:adjustRightInd w:val="0"/>
        <w:spacing w:line="360" w:lineRule="auto"/>
        <w:ind w:firstLine="560" w:firstLineChars="200"/>
        <w:textAlignment w:val="baseline"/>
        <w:outlineLvl w:val="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（一）课题承接单位要求</w:t>
      </w:r>
    </w:p>
    <w:p w14:paraId="1B96FC18">
      <w:pPr>
        <w:widowControl/>
        <w:overflowPunct w:val="0"/>
        <w:autoSpaceDE w:val="0"/>
        <w:autoSpaceDN w:val="0"/>
        <w:adjustRightInd w:val="0"/>
        <w:spacing w:line="360" w:lineRule="auto"/>
        <w:ind w:firstLine="562" w:firstLineChars="200"/>
        <w:textAlignment w:val="baseline"/>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b/>
          <w:bCs/>
          <w:sz w:val="28"/>
          <w:szCs w:val="28"/>
        </w:rPr>
        <w:t>本项目允许联合体参与投标，联合体各方应满足本工作任务大纲所要求的资质条件，且需满足《中华人民共和国政府采购法》第二十二条规定，并明确牵头单位和参与单位的各方职责分工。</w:t>
      </w:r>
    </w:p>
    <w:p w14:paraId="241C9257">
      <w:pPr>
        <w:widowControl/>
        <w:overflowPunct w:val="0"/>
        <w:autoSpaceDE w:val="0"/>
        <w:autoSpaceDN w:val="0"/>
        <w:adjustRightInd w:val="0"/>
        <w:spacing w:line="360" w:lineRule="auto"/>
        <w:ind w:firstLine="560" w:firstLineChars="200"/>
        <w:textAlignment w:val="baseline"/>
        <w:outlineLvl w:val="0"/>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本项目分包任务旨在从行业技术层面和政策分析层面开展研究和评估，要求承担单位具备以下经验：</w:t>
      </w:r>
    </w:p>
    <w:p w14:paraId="241C9258">
      <w:pPr>
        <w:numPr>
          <w:ilvl w:val="0"/>
          <w:numId w:val="4"/>
        </w:numPr>
        <w:autoSpaceDE w:val="0"/>
        <w:autoSpaceDN w:val="0"/>
        <w:adjustRightInd w:val="0"/>
        <w:spacing w:line="600" w:lineRule="exact"/>
        <w:rPr>
          <w:rFonts w:ascii="Times New Roman" w:hAnsi="Times New Roman" w:eastAsia="仿宋" w:cs="Times New Roman"/>
          <w:sz w:val="28"/>
          <w:szCs w:val="28"/>
        </w:rPr>
      </w:pPr>
      <w:r>
        <w:rPr>
          <w:rFonts w:hint="eastAsia" w:ascii="Times New Roman" w:hAnsi="Times New Roman" w:eastAsia="仿宋" w:cs="Times New Roman"/>
          <w:sz w:val="28"/>
          <w:szCs w:val="28"/>
        </w:rPr>
        <w:t>对全国碳排放权交易市场建设相关政策、要求、发展方向具有深刻的认识，熟悉发电行业配额管理及</w:t>
      </w:r>
      <w:r>
        <w:rPr>
          <w:rFonts w:ascii="Times New Roman" w:hAnsi="Times New Roman" w:eastAsia="仿宋" w:cs="Times New Roman"/>
          <w:sz w:val="28"/>
          <w:szCs w:val="28"/>
        </w:rPr>
        <w:t>MRV</w:t>
      </w:r>
      <w:r>
        <w:rPr>
          <w:rFonts w:hint="eastAsia" w:ascii="Times New Roman" w:hAnsi="Times New Roman" w:eastAsia="仿宋" w:cs="Times New Roman"/>
          <w:sz w:val="28"/>
          <w:szCs w:val="28"/>
        </w:rPr>
        <w:t>体系的技术规范与实践进展；</w:t>
      </w:r>
    </w:p>
    <w:p w14:paraId="241C9259">
      <w:pPr>
        <w:numPr>
          <w:ilvl w:val="0"/>
          <w:numId w:val="4"/>
        </w:numPr>
        <w:autoSpaceDE w:val="0"/>
        <w:autoSpaceDN w:val="0"/>
        <w:adjustRightInd w:val="0"/>
        <w:spacing w:line="600" w:lineRule="exact"/>
        <w:rPr>
          <w:rFonts w:ascii="Times New Roman" w:hAnsi="Times New Roman" w:eastAsia="仿宋" w:cs="Times New Roman"/>
          <w:sz w:val="28"/>
          <w:szCs w:val="28"/>
        </w:rPr>
      </w:pPr>
      <w:r>
        <w:rPr>
          <w:rFonts w:hint="eastAsia" w:ascii="Times New Roman" w:hAnsi="Times New Roman" w:eastAsia="仿宋" w:cs="Times New Roman"/>
          <w:sz w:val="28"/>
          <w:szCs w:val="28"/>
        </w:rPr>
        <w:t>具有承担国家级或省部级政策研究项目的经历，特别是与碳市场、电力行业、碳排放数据管理等相关的政策咨询和决策支持研究经验；</w:t>
      </w:r>
    </w:p>
    <w:p w14:paraId="241C925A">
      <w:pPr>
        <w:numPr>
          <w:ilvl w:val="0"/>
          <w:numId w:val="4"/>
        </w:numPr>
        <w:autoSpaceDE w:val="0"/>
        <w:autoSpaceDN w:val="0"/>
        <w:adjustRightInd w:val="0"/>
        <w:spacing w:line="600" w:lineRule="exact"/>
        <w:rPr>
          <w:rFonts w:ascii="Times New Roman" w:hAnsi="Times New Roman" w:eastAsia="仿宋" w:cs="Times New Roman"/>
          <w:sz w:val="28"/>
          <w:szCs w:val="28"/>
        </w:rPr>
      </w:pPr>
      <w:r>
        <w:rPr>
          <w:rFonts w:hint="eastAsia" w:ascii="Times New Roman" w:hAnsi="Times New Roman" w:eastAsia="仿宋" w:cs="Times New Roman"/>
          <w:sz w:val="28"/>
          <w:szCs w:val="28"/>
        </w:rPr>
        <w:t>具备协调典型发电企业提供现场调研支持的能力，能够有效组织与发电企业、核查机构、行业协会、主管部门等利益相关方的调研访谈和专题研讨会；</w:t>
      </w:r>
    </w:p>
    <w:p w14:paraId="241C925B">
      <w:pPr>
        <w:numPr>
          <w:ilvl w:val="0"/>
          <w:numId w:val="4"/>
        </w:numPr>
        <w:autoSpaceDE w:val="0"/>
        <w:autoSpaceDN w:val="0"/>
        <w:adjustRightInd w:val="0"/>
        <w:spacing w:line="600" w:lineRule="exact"/>
        <w:rPr>
          <w:rStyle w:val="26"/>
          <w:rFonts w:ascii="Times New Roman" w:hAnsi="Times New Roman" w:eastAsia="仿宋" w:cs="Times New Roman"/>
          <w:sz w:val="28"/>
          <w:szCs w:val="28"/>
        </w:rPr>
      </w:pPr>
      <w:r>
        <w:rPr>
          <w:rFonts w:hint="eastAsia" w:ascii="Times New Roman" w:hAnsi="Times New Roman" w:eastAsia="仿宋" w:cs="Times New Roman"/>
          <w:sz w:val="28"/>
          <w:szCs w:val="28"/>
        </w:rPr>
        <w:t>具备国际交流合作基础，能够获取国际碳市场发电行业配额管理及</w:t>
      </w:r>
      <w:r>
        <w:rPr>
          <w:rFonts w:ascii="Times New Roman" w:hAnsi="Times New Roman" w:eastAsia="仿宋" w:cs="Times New Roman"/>
          <w:sz w:val="28"/>
          <w:szCs w:val="28"/>
        </w:rPr>
        <w:t>MRV体系的最新动态和实践经验</w:t>
      </w:r>
      <w:r>
        <w:rPr>
          <w:rFonts w:hint="eastAsia" w:ascii="Times New Roman" w:hAnsi="Times New Roman" w:eastAsia="仿宋" w:cs="Times New Roman"/>
          <w:sz w:val="28"/>
          <w:szCs w:val="28"/>
        </w:rPr>
        <w:t>；</w:t>
      </w:r>
    </w:p>
    <w:p w14:paraId="241C925C">
      <w:pPr>
        <w:widowControl/>
        <w:overflowPunct w:val="0"/>
        <w:autoSpaceDE w:val="0"/>
        <w:autoSpaceDN w:val="0"/>
        <w:adjustRightInd w:val="0"/>
        <w:spacing w:line="360" w:lineRule="auto"/>
        <w:ind w:firstLine="560" w:firstLineChars="200"/>
        <w:textAlignment w:val="baseline"/>
        <w:outlineLvl w:val="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（二）课题研究团队要求</w:t>
      </w:r>
    </w:p>
    <w:p w14:paraId="241C925D">
      <w:pPr>
        <w:numPr>
          <w:ilvl w:val="0"/>
          <w:numId w:val="5"/>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项目团队应不少于</w:t>
      </w:r>
      <w:r>
        <w:rPr>
          <w:rFonts w:ascii="Times New Roman" w:hAnsi="Times New Roman" w:eastAsia="仿宋" w:cs="Times New Roman"/>
          <w:color w:val="000000" w:themeColor="text1"/>
          <w:sz w:val="28"/>
          <w:szCs w:val="28"/>
          <w14:textFill>
            <w14:solidFill>
              <w14:schemeClr w14:val="tx1"/>
            </w14:solidFill>
          </w14:textFill>
        </w:rPr>
        <w:t>10人，</w:t>
      </w:r>
      <w:r>
        <w:rPr>
          <w:rFonts w:hint="eastAsia" w:ascii="Times New Roman" w:hAnsi="Times New Roman" w:eastAsia="仿宋" w:cs="Times New Roman"/>
          <w:color w:val="000000" w:themeColor="text1"/>
          <w:sz w:val="28"/>
          <w:szCs w:val="28"/>
          <w14:textFill>
            <w14:solidFill>
              <w14:schemeClr w14:val="tx1"/>
            </w14:solidFill>
          </w14:textFill>
        </w:rPr>
        <w:t>确保项目实施有充足且专业的人员投入。团队构成应至少包括研究人员、项目与财务管理人员、环境社会风险管控人员等。</w:t>
      </w:r>
    </w:p>
    <w:p w14:paraId="4A683709">
      <w:pPr>
        <w:numPr>
          <w:ilvl w:val="0"/>
          <w:numId w:val="5"/>
        </w:numPr>
        <w:adjustRightInd w:val="0"/>
        <w:snapToGrid w:val="0"/>
        <w:spacing w:line="360" w:lineRule="auto"/>
        <w:rPr>
          <w:rFonts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项目团队应</w:t>
      </w:r>
      <w:r>
        <w:rPr>
          <w:rFonts w:ascii="Times New Roman" w:hAnsi="Times New Roman" w:eastAsia="仿宋" w:cs="Times New Roman"/>
          <w:color w:val="000000" w:themeColor="text1"/>
          <w:sz w:val="28"/>
          <w:szCs w:val="28"/>
          <w14:textFill>
            <w14:solidFill>
              <w14:schemeClr w14:val="tx1"/>
            </w14:solidFill>
          </w14:textFill>
        </w:rPr>
        <w:t>设置项目负责人，负责项目总体规划、任务部署</w:t>
      </w:r>
      <w:r>
        <w:rPr>
          <w:rFonts w:hint="eastAsia"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eastAsia="仿宋" w:cs="Times New Roman"/>
          <w:color w:val="000000" w:themeColor="text1"/>
          <w:sz w:val="28"/>
          <w:szCs w:val="28"/>
          <w14:textFill>
            <w14:solidFill>
              <w14:schemeClr w14:val="tx1"/>
            </w14:solidFill>
          </w14:textFill>
        </w:rPr>
        <w:t>进度把控</w:t>
      </w:r>
      <w:r>
        <w:rPr>
          <w:rFonts w:hint="eastAsia" w:ascii="Times New Roman" w:hAnsi="Times New Roman" w:eastAsia="仿宋" w:cs="Times New Roman"/>
          <w:color w:val="000000" w:themeColor="text1"/>
          <w:sz w:val="28"/>
          <w:szCs w:val="28"/>
          <w14:textFill>
            <w14:solidFill>
              <w14:schemeClr w14:val="tx1"/>
            </w14:solidFill>
          </w14:textFill>
        </w:rPr>
        <w:t>及成果质量等</w:t>
      </w:r>
      <w:r>
        <w:rPr>
          <w:rFonts w:ascii="Times New Roman" w:hAnsi="Times New Roman" w:eastAsia="仿宋" w:cs="Times New Roman"/>
          <w:color w:val="000000" w:themeColor="text1"/>
          <w:sz w:val="28"/>
          <w:szCs w:val="28"/>
          <w14:textFill>
            <w14:solidFill>
              <w14:schemeClr w14:val="tx1"/>
            </w14:solidFill>
          </w14:textFill>
        </w:rPr>
        <w:t>工作，</w:t>
      </w:r>
      <w:r>
        <w:rPr>
          <w:rFonts w:hint="eastAsia" w:ascii="Times New Roman" w:hAnsi="Times New Roman" w:eastAsia="仿宋" w:cs="Times New Roman"/>
          <w:color w:val="000000" w:themeColor="text1"/>
          <w:sz w:val="28"/>
          <w:szCs w:val="28"/>
          <w14:textFill>
            <w14:solidFill>
              <w14:schemeClr w14:val="tx1"/>
            </w14:solidFill>
          </w14:textFill>
        </w:rPr>
        <w:t>且应具备以下条件：</w:t>
      </w:r>
    </w:p>
    <w:p w14:paraId="21C07AC5">
      <w:pPr>
        <w:numPr>
          <w:ilvl w:val="0"/>
          <w:numId w:val="6"/>
        </w:numPr>
        <w:adjustRightInd w:val="0"/>
        <w:snapToGrid w:val="0"/>
        <w:spacing w:line="360" w:lineRule="auto"/>
      </w:pPr>
      <w:r>
        <w:rPr>
          <w:rFonts w:hint="eastAsia" w:ascii="Times New Roman" w:hAnsi="Times New Roman" w:eastAsia="仿宋" w:cs="Times New Roman"/>
          <w:color w:val="000000" w:themeColor="text1"/>
          <w:sz w:val="28"/>
          <w:szCs w:val="28"/>
          <w14:textFill>
            <w14:solidFill>
              <w14:schemeClr w14:val="tx1"/>
            </w14:solidFill>
          </w14:textFill>
        </w:rPr>
        <w:t>在碳市场、电力行业碳排放管理、环境政策或能源经济等领域具有</w:t>
      </w:r>
      <w:r>
        <w:rPr>
          <w:rFonts w:ascii="Times New Roman" w:hAnsi="Times New Roman" w:eastAsia="仿宋" w:cs="Times New Roman"/>
          <w:color w:val="000000" w:themeColor="text1"/>
          <w:sz w:val="28"/>
          <w:szCs w:val="28"/>
          <w14:textFill>
            <w14:solidFill>
              <w14:schemeClr w14:val="tx1"/>
            </w14:solidFill>
          </w14:textFill>
        </w:rPr>
        <w:t>5</w:t>
      </w:r>
      <w:r>
        <w:rPr>
          <w:rFonts w:hint="eastAsia" w:ascii="Times New Roman" w:hAnsi="Times New Roman" w:eastAsia="仿宋" w:cs="Times New Roman"/>
          <w:color w:val="000000" w:themeColor="text1"/>
          <w:sz w:val="28"/>
          <w:szCs w:val="28"/>
          <w14:textFill>
            <w14:solidFill>
              <w14:schemeClr w14:val="tx1"/>
            </w14:solidFill>
          </w14:textFill>
        </w:rPr>
        <w:t>年以上研究或政策咨询经验；或作为项目负责人，承担过至少</w:t>
      </w:r>
      <w:r>
        <w:rPr>
          <w:rFonts w:ascii="Times New Roman" w:hAnsi="Times New Roman" w:eastAsia="仿宋" w:cs="Times New Roman"/>
          <w:color w:val="000000" w:themeColor="text1"/>
          <w:sz w:val="28"/>
          <w:szCs w:val="28"/>
          <w14:textFill>
            <w14:solidFill>
              <w14:schemeClr w14:val="tx1"/>
            </w14:solidFill>
          </w14:textFill>
        </w:rPr>
        <w:t>1</w:t>
      </w:r>
      <w:r>
        <w:rPr>
          <w:rFonts w:hint="eastAsia" w:ascii="Times New Roman" w:hAnsi="Times New Roman" w:eastAsia="仿宋" w:cs="Times New Roman"/>
          <w:color w:val="000000" w:themeColor="text1"/>
          <w:sz w:val="28"/>
          <w:szCs w:val="28"/>
          <w14:textFill>
            <w14:solidFill>
              <w14:schemeClr w14:val="tx1"/>
            </w14:solidFill>
          </w14:textFill>
        </w:rPr>
        <w:t>项国家部委或省级政府委托的碳市场、发电行业配额管理或</w:t>
      </w:r>
      <w:r>
        <w:rPr>
          <w:rFonts w:ascii="Times New Roman" w:hAnsi="Times New Roman" w:eastAsia="仿宋" w:cs="Times New Roman"/>
          <w:color w:val="000000" w:themeColor="text1"/>
          <w:sz w:val="28"/>
          <w:szCs w:val="28"/>
          <w14:textFill>
            <w14:solidFill>
              <w14:schemeClr w14:val="tx1"/>
            </w14:solidFill>
          </w14:textFill>
        </w:rPr>
        <w:t>MRV</w:t>
      </w:r>
      <w:r>
        <w:rPr>
          <w:rFonts w:hint="eastAsia" w:ascii="Times New Roman" w:hAnsi="Times New Roman" w:eastAsia="仿宋" w:cs="Times New Roman"/>
          <w:color w:val="000000" w:themeColor="text1"/>
          <w:sz w:val="28"/>
          <w:szCs w:val="28"/>
          <w14:textFill>
            <w14:solidFill>
              <w14:schemeClr w14:val="tx1"/>
            </w14:solidFill>
          </w14:textFill>
        </w:rPr>
        <w:t>体系相关研究项目。</w:t>
      </w:r>
    </w:p>
    <w:p w14:paraId="56ED607F">
      <w:pPr>
        <w:numPr>
          <w:ilvl w:val="0"/>
          <w:numId w:val="5"/>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项目团队应配备与工作大纲内容相符的研究人员，以支撑全部工作任务的完成，项目研究团队人员构成应满足以下条件：</w:t>
      </w:r>
    </w:p>
    <w:p w14:paraId="4679DECA">
      <w:pPr>
        <w:numPr>
          <w:ilvl w:val="0"/>
          <w:numId w:val="6"/>
        </w:numPr>
        <w:adjustRightInd w:val="0"/>
        <w:snapToGrid w:val="0"/>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发电行业配额管理研究方向</w:t>
      </w:r>
    </w:p>
    <w:p w14:paraId="43C0176D">
      <w:pPr>
        <w:numPr>
          <w:ilvl w:val="1"/>
          <w:numId w:val="6"/>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在碳排放权交易或电力行业经济政策领域具有</w:t>
      </w:r>
      <w:r>
        <w:rPr>
          <w:rFonts w:ascii="Times New Roman" w:hAnsi="Times New Roman" w:eastAsia="仿宋" w:cs="Times New Roman"/>
          <w:color w:val="000000" w:themeColor="text1"/>
          <w:sz w:val="28"/>
          <w:szCs w:val="28"/>
          <w14:textFill>
            <w14:solidFill>
              <w14:schemeClr w14:val="tx1"/>
            </w14:solidFill>
          </w14:textFill>
        </w:rPr>
        <w:t>3</w:t>
      </w:r>
      <w:r>
        <w:rPr>
          <w:rFonts w:hint="eastAsia" w:ascii="Times New Roman" w:hAnsi="Times New Roman" w:eastAsia="仿宋" w:cs="Times New Roman"/>
          <w:color w:val="000000" w:themeColor="text1"/>
          <w:sz w:val="28"/>
          <w:szCs w:val="28"/>
          <w14:textFill>
            <w14:solidFill>
              <w14:schemeClr w14:val="tx1"/>
            </w14:solidFill>
          </w14:textFill>
        </w:rPr>
        <w:t>年以上工作经验，或</w:t>
      </w:r>
      <w:r>
        <w:rPr>
          <w:rFonts w:ascii="Times New Roman" w:hAnsi="Times New Roman" w:eastAsia="仿宋" w:cs="Times New Roman"/>
          <w:color w:val="000000" w:themeColor="text1"/>
          <w:sz w:val="28"/>
          <w:szCs w:val="28"/>
          <w14:textFill>
            <w14:solidFill>
              <w14:schemeClr w14:val="tx1"/>
            </w14:solidFill>
          </w14:textFill>
        </w:rPr>
        <w:t>曾以主要技术人员身份参与或承担过国家级或省部级发电行业配额分配方案相关的预目</w:t>
      </w:r>
      <w:r>
        <w:rPr>
          <w:rFonts w:hint="eastAsia" w:ascii="Times New Roman" w:hAnsi="Times New Roman" w:eastAsia="仿宋" w:cs="Times New Roman"/>
          <w:color w:val="000000" w:themeColor="text1"/>
          <w:sz w:val="28"/>
          <w:szCs w:val="28"/>
          <w14:textFill>
            <w14:solidFill>
              <w14:schemeClr w14:val="tx1"/>
            </w14:solidFill>
          </w14:textFill>
        </w:rPr>
        <w:t>；</w:t>
      </w:r>
    </w:p>
    <w:p w14:paraId="11D8A2A7">
      <w:pPr>
        <w:numPr>
          <w:ilvl w:val="1"/>
          <w:numId w:val="6"/>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熟悉全国碳排放权交易市场发电行业配额分配机制（包括基准线法、机组分类、总量控制路径等），具备系统性梳理和评估能力。</w:t>
      </w:r>
    </w:p>
    <w:p w14:paraId="7D844AD4">
      <w:pPr>
        <w:numPr>
          <w:ilvl w:val="0"/>
          <w:numId w:val="6"/>
        </w:numPr>
        <w:adjustRightInd w:val="0"/>
        <w:snapToGrid w:val="0"/>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发电行业</w:t>
      </w:r>
      <w:r>
        <w:rPr>
          <w:rFonts w:ascii="Times New Roman" w:hAnsi="Times New Roman" w:eastAsia="仿宋" w:cs="Times New Roman"/>
          <w:b/>
          <w:bCs/>
          <w:color w:val="000000" w:themeColor="text1"/>
          <w:sz w:val="28"/>
          <w:szCs w:val="28"/>
          <w14:textFill>
            <w14:solidFill>
              <w14:schemeClr w14:val="tx1"/>
            </w14:solidFill>
          </w14:textFill>
        </w:rPr>
        <w:t>MRV体系研究方向</w:t>
      </w:r>
    </w:p>
    <w:p w14:paraId="6C23F183">
      <w:pPr>
        <w:numPr>
          <w:ilvl w:val="1"/>
          <w:numId w:val="6"/>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在碳排放核算、报告与核查领域具有</w:t>
      </w:r>
      <w:r>
        <w:rPr>
          <w:rFonts w:ascii="Times New Roman" w:hAnsi="Times New Roman" w:eastAsia="仿宋" w:cs="Times New Roman"/>
          <w:color w:val="000000" w:themeColor="text1"/>
          <w:sz w:val="28"/>
          <w:szCs w:val="28"/>
          <w14:textFill>
            <w14:solidFill>
              <w14:schemeClr w14:val="tx1"/>
            </w14:solidFill>
          </w14:textFill>
        </w:rPr>
        <w:t>3</w:t>
      </w:r>
      <w:r>
        <w:rPr>
          <w:rFonts w:hint="eastAsia" w:ascii="Times New Roman" w:hAnsi="Times New Roman" w:eastAsia="仿宋" w:cs="Times New Roman"/>
          <w:color w:val="000000" w:themeColor="text1"/>
          <w:sz w:val="28"/>
          <w:szCs w:val="28"/>
          <w14:textFill>
            <w14:solidFill>
              <w14:schemeClr w14:val="tx1"/>
            </w14:solidFill>
          </w14:textFill>
        </w:rPr>
        <w:t>年以上工作经验，或曾以主要技术人员身份参与过发电行业</w:t>
      </w:r>
      <w:r>
        <w:rPr>
          <w:rFonts w:ascii="Times New Roman" w:hAnsi="Times New Roman" w:eastAsia="仿宋" w:cs="Times New Roman"/>
          <w:color w:val="000000" w:themeColor="text1"/>
          <w:sz w:val="28"/>
          <w:szCs w:val="28"/>
          <w14:textFill>
            <w14:solidFill>
              <w14:schemeClr w14:val="tx1"/>
            </w14:solidFill>
          </w14:textFill>
        </w:rPr>
        <w:t>MRV指南修订或核查技术规范制定项目；</w:t>
      </w:r>
    </w:p>
    <w:p w14:paraId="16EAD5D1">
      <w:pPr>
        <w:numPr>
          <w:ilvl w:val="1"/>
          <w:numId w:val="6"/>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熟悉《企业温室气体排放核算与报告指南</w:t>
      </w:r>
      <w:r>
        <w:rPr>
          <w:rFonts w:ascii="Times New Roman" w:hAnsi="Times New Roman" w:eastAsia="仿宋" w:cs="Times New Roman"/>
          <w:color w:val="000000" w:themeColor="text1"/>
          <w:sz w:val="28"/>
          <w:szCs w:val="28"/>
          <w14:textFill>
            <w14:solidFill>
              <w14:schemeClr w14:val="tx1"/>
            </w14:solidFill>
          </w14:textFill>
        </w:rPr>
        <w:t xml:space="preserve"> 发电设施》及核查相关技术规范，能够诊断核算难点和数据质量薄弱环节。</w:t>
      </w:r>
    </w:p>
    <w:p w14:paraId="7DE08C50">
      <w:pPr>
        <w:numPr>
          <w:ilvl w:val="0"/>
          <w:numId w:val="6"/>
        </w:numPr>
        <w:adjustRightInd w:val="0"/>
        <w:snapToGrid w:val="0"/>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行业主管部门调研与政策分析方向</w:t>
      </w:r>
    </w:p>
    <w:p w14:paraId="1C7FA972">
      <w:pPr>
        <w:numPr>
          <w:ilvl w:val="1"/>
          <w:numId w:val="6"/>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在碳市场政策研究或政府咨询领域具有</w:t>
      </w:r>
      <w:r>
        <w:rPr>
          <w:rFonts w:ascii="Times New Roman" w:hAnsi="Times New Roman" w:eastAsia="仿宋" w:cs="Times New Roman"/>
          <w:color w:val="000000" w:themeColor="text1"/>
          <w:sz w:val="28"/>
          <w:szCs w:val="28"/>
          <w14:textFill>
            <w14:solidFill>
              <w14:schemeClr w14:val="tx1"/>
            </w14:solidFill>
          </w14:textFill>
        </w:rPr>
        <w:t>3</w:t>
      </w:r>
      <w:r>
        <w:rPr>
          <w:rFonts w:hint="eastAsia" w:ascii="Times New Roman" w:hAnsi="Times New Roman" w:eastAsia="仿宋" w:cs="Times New Roman"/>
          <w:color w:val="000000" w:themeColor="text1"/>
          <w:sz w:val="28"/>
          <w:szCs w:val="28"/>
          <w14:textFill>
            <w14:solidFill>
              <w14:schemeClr w14:val="tx1"/>
            </w14:solidFill>
          </w14:textFill>
        </w:rPr>
        <w:t>年以上工作经验，或曾以主要技术人员身份参与过对生态环境主管部门的调研访谈或政策评估项目；</w:t>
      </w:r>
    </w:p>
    <w:p w14:paraId="23BDACA2">
      <w:pPr>
        <w:numPr>
          <w:ilvl w:val="1"/>
          <w:numId w:val="6"/>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具备组织和实施政府座谈交流、政策执行情况调研、政策建议收集分析的能力。</w:t>
      </w:r>
    </w:p>
    <w:p w14:paraId="520B4AF5">
      <w:pPr>
        <w:numPr>
          <w:ilvl w:val="0"/>
          <w:numId w:val="6"/>
        </w:numPr>
        <w:adjustRightInd w:val="0"/>
        <w:snapToGrid w:val="0"/>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国际经验对比分析方向</w:t>
      </w:r>
    </w:p>
    <w:p w14:paraId="13DC59CE">
      <w:pPr>
        <w:numPr>
          <w:ilvl w:val="1"/>
          <w:numId w:val="6"/>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在国际碳市场或电力行业碳管理政策研究领域具有</w:t>
      </w:r>
      <w:r>
        <w:rPr>
          <w:rFonts w:ascii="Times New Roman" w:hAnsi="Times New Roman" w:eastAsia="仿宋" w:cs="Times New Roman"/>
          <w:color w:val="000000" w:themeColor="text1"/>
          <w:sz w:val="28"/>
          <w:szCs w:val="28"/>
          <w14:textFill>
            <w14:solidFill>
              <w14:schemeClr w14:val="tx1"/>
            </w14:solidFill>
          </w14:textFill>
        </w:rPr>
        <w:t>2</w:t>
      </w:r>
      <w:r>
        <w:rPr>
          <w:rFonts w:hint="eastAsia" w:ascii="Times New Roman" w:hAnsi="Times New Roman" w:eastAsia="仿宋" w:cs="Times New Roman"/>
          <w:color w:val="000000" w:themeColor="text1"/>
          <w:sz w:val="28"/>
          <w:szCs w:val="28"/>
          <w14:textFill>
            <w14:solidFill>
              <w14:schemeClr w14:val="tx1"/>
            </w14:solidFill>
          </w14:textFill>
        </w:rPr>
        <w:t>年以上工作经验，具备以英文开展研究工作的能力；</w:t>
      </w:r>
    </w:p>
    <w:p w14:paraId="28F65740">
      <w:pPr>
        <w:numPr>
          <w:ilvl w:val="1"/>
          <w:numId w:val="6"/>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熟悉国际主要碳市场（如欧盟</w:t>
      </w:r>
      <w:r>
        <w:rPr>
          <w:rFonts w:ascii="Times New Roman" w:hAnsi="Times New Roman" w:eastAsia="仿宋" w:cs="Times New Roman"/>
          <w:color w:val="000000" w:themeColor="text1"/>
          <w:sz w:val="28"/>
          <w:szCs w:val="28"/>
          <w14:textFill>
            <w14:solidFill>
              <w14:schemeClr w14:val="tx1"/>
            </w14:solidFill>
          </w14:textFill>
        </w:rPr>
        <w:t>ETS、美国加州ETS、英国ETS、韩国ETS等）发电行业配额管理及MRV体系的制度设计与实践经验。</w:t>
      </w:r>
    </w:p>
    <w:p w14:paraId="4E58C58C">
      <w:pPr>
        <w:numPr>
          <w:ilvl w:val="0"/>
          <w:numId w:val="6"/>
        </w:numPr>
        <w:adjustRightInd w:val="0"/>
        <w:snapToGrid w:val="0"/>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企业诉求调研与数据分析方向</w:t>
      </w:r>
    </w:p>
    <w:p w14:paraId="164898C2">
      <w:pPr>
        <w:numPr>
          <w:ilvl w:val="1"/>
          <w:numId w:val="6"/>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在电力行业企业调研、数据收集与分析领域具有</w:t>
      </w:r>
      <w:r>
        <w:rPr>
          <w:rFonts w:ascii="Times New Roman" w:hAnsi="Times New Roman" w:eastAsia="仿宋" w:cs="Times New Roman"/>
          <w:color w:val="000000" w:themeColor="text1"/>
          <w:sz w:val="28"/>
          <w:szCs w:val="28"/>
          <w14:textFill>
            <w14:solidFill>
              <w14:schemeClr w14:val="tx1"/>
            </w14:solidFill>
          </w14:textFill>
        </w:rPr>
        <w:t>3</w:t>
      </w:r>
      <w:r>
        <w:rPr>
          <w:rFonts w:hint="eastAsia" w:ascii="Times New Roman" w:hAnsi="Times New Roman" w:eastAsia="仿宋" w:cs="Times New Roman"/>
          <w:color w:val="000000" w:themeColor="text1"/>
          <w:sz w:val="28"/>
          <w:szCs w:val="28"/>
          <w14:textFill>
            <w14:solidFill>
              <w14:schemeClr w14:val="tx1"/>
            </w14:solidFill>
          </w14:textFill>
        </w:rPr>
        <w:t>年以上工作经历，或曾以主要技术人员身份参与过发电企业碳排放数据统计分析或问卷调研项目；</w:t>
      </w:r>
    </w:p>
    <w:p w14:paraId="00E46465">
      <w:pPr>
        <w:numPr>
          <w:ilvl w:val="1"/>
          <w:numId w:val="6"/>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具备设计问卷、组织调研访谈、处理企业级碳排放数据的能力。</w:t>
      </w:r>
    </w:p>
    <w:p w14:paraId="1016618F">
      <w:pPr>
        <w:numPr>
          <w:ilvl w:val="0"/>
          <w:numId w:val="6"/>
        </w:numPr>
        <w:adjustRightInd w:val="0"/>
        <w:snapToGrid w:val="0"/>
        <w:spacing w:line="360" w:lineRule="auto"/>
        <w:rPr>
          <w:rFonts w:ascii="Times New Roman" w:hAnsi="Times New Roman" w:eastAsia="仿宋" w:cs="Times New Roman"/>
          <w:b/>
          <w:bCs/>
          <w:color w:val="000000" w:themeColor="text1"/>
          <w:sz w:val="28"/>
          <w:szCs w:val="28"/>
          <w14:textFill>
            <w14:solidFill>
              <w14:schemeClr w14:val="tx1"/>
            </w14:solidFill>
          </w14:textFill>
        </w:rPr>
      </w:pPr>
      <w:r>
        <w:rPr>
          <w:rFonts w:hint="eastAsia" w:ascii="Times New Roman" w:hAnsi="Times New Roman" w:eastAsia="仿宋" w:cs="Times New Roman"/>
          <w:b/>
          <w:bCs/>
          <w:color w:val="000000" w:themeColor="text1"/>
          <w:sz w:val="28"/>
          <w:szCs w:val="28"/>
          <w14:textFill>
            <w14:solidFill>
              <w14:schemeClr w14:val="tx1"/>
            </w14:solidFill>
          </w14:textFill>
        </w:rPr>
        <w:t>其他辅助研究人员</w:t>
      </w:r>
    </w:p>
    <w:p w14:paraId="4033B8E9">
      <w:pPr>
        <w:numPr>
          <w:ilvl w:val="1"/>
          <w:numId w:val="6"/>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根据研究工作实际需要，配备在相关研究领域具有</w:t>
      </w:r>
      <w:r>
        <w:rPr>
          <w:rFonts w:ascii="Times New Roman" w:hAnsi="Times New Roman" w:eastAsia="仿宋" w:cs="Times New Roman"/>
          <w:color w:val="000000" w:themeColor="text1"/>
          <w:sz w:val="28"/>
          <w:szCs w:val="28"/>
          <w14:textFill>
            <w14:solidFill>
              <w14:schemeClr w14:val="tx1"/>
            </w14:solidFill>
          </w14:textFill>
        </w:rPr>
        <w:t>2年以上工作经验的成员；</w:t>
      </w:r>
    </w:p>
    <w:p w14:paraId="3A3939F2">
      <w:pPr>
        <w:numPr>
          <w:ilvl w:val="1"/>
          <w:numId w:val="6"/>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具备承担资料收集、数据分析、报告撰写、会议组织等技术支持工作的能力。</w:t>
      </w:r>
    </w:p>
    <w:p w14:paraId="241C9262">
      <w:pPr>
        <w:numPr>
          <w:ilvl w:val="0"/>
          <w:numId w:val="5"/>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项目团队还应</w:t>
      </w:r>
      <w:r>
        <w:rPr>
          <w:rFonts w:ascii="Times New Roman" w:hAnsi="Times New Roman" w:eastAsia="仿宋" w:cs="Times New Roman"/>
          <w:color w:val="000000" w:themeColor="text1"/>
          <w:sz w:val="28"/>
          <w:szCs w:val="28"/>
          <w14:textFill>
            <w14:solidFill>
              <w14:schemeClr w14:val="tx1"/>
            </w14:solidFill>
          </w14:textFill>
        </w:rPr>
        <w:t>配备了解世界银行或多边国际组织环境社会背景或具有相关环境社会影响与风险管理经验的</w:t>
      </w:r>
      <w:r>
        <w:rPr>
          <w:rFonts w:hint="eastAsia" w:ascii="Times New Roman" w:hAnsi="Times New Roman" w:eastAsia="仿宋" w:cs="Times New Roman"/>
          <w:color w:val="000000" w:themeColor="text1"/>
          <w:sz w:val="28"/>
          <w:szCs w:val="28"/>
          <w14:textFill>
            <w14:solidFill>
              <w14:schemeClr w14:val="tx1"/>
            </w14:solidFill>
          </w14:textFill>
        </w:rPr>
        <w:t>环境专家和社会专家各</w:t>
      </w:r>
      <w:r>
        <w:rPr>
          <w:rFonts w:ascii="Times New Roman" w:hAnsi="Times New Roman" w:eastAsia="仿宋" w:cs="Times New Roman"/>
          <w:color w:val="000000" w:themeColor="text1"/>
          <w:sz w:val="28"/>
          <w:szCs w:val="28"/>
          <w14:textFill>
            <w14:solidFill>
              <w14:schemeClr w14:val="tx1"/>
            </w14:solidFill>
          </w14:textFill>
        </w:rPr>
        <w:t>1人，按照世界银行《环境和社会框架》（ESF）政策要求，识别、评估本咨询服务活动涉及的潜在环境和社会风险及影响，提出相应的处置和缓解措施建议；负责各交付成果中环境与社会影响分析章节的撰写；协助制定并实施信息公开计划及公众参与计划；接受项目管理办公室所聘请的环境社会专家的监督和指导。</w:t>
      </w:r>
    </w:p>
    <w:p w14:paraId="241C9263">
      <w:pPr>
        <w:numPr>
          <w:ilvl w:val="0"/>
          <w:numId w:val="5"/>
        </w:numPr>
        <w:adjustRightInd w:val="0"/>
        <w:snapToGrid w:val="0"/>
        <w:spacing w:line="360" w:lineRule="auto"/>
        <w:rPr>
          <w:rFonts w:ascii="Times New Roman" w:hAnsi="Times New Roman" w:eastAsia="仿宋" w:cs="Times New Roman"/>
          <w:color w:val="000000" w:themeColor="text1"/>
          <w:sz w:val="28"/>
          <w:szCs w:val="28"/>
          <w14:textFill>
            <w14:solidFill>
              <w14:schemeClr w14:val="tx1"/>
            </w14:solidFill>
          </w14:textFill>
        </w:rPr>
      </w:pPr>
      <w:r>
        <w:rPr>
          <w:rFonts w:hint="eastAsia" w:ascii="Times New Roman" w:hAnsi="Times New Roman" w:eastAsia="仿宋" w:cs="Times New Roman"/>
          <w:color w:val="000000" w:themeColor="text1"/>
          <w:sz w:val="28"/>
          <w:szCs w:val="28"/>
          <w14:textFill>
            <w14:solidFill>
              <w14:schemeClr w14:val="tx1"/>
            </w14:solidFill>
          </w14:textFill>
        </w:rPr>
        <w:t>项目团队需配备财务管理</w:t>
      </w:r>
      <w:r>
        <w:rPr>
          <w:rFonts w:ascii="Times New Roman" w:hAnsi="Times New Roman" w:eastAsia="仿宋" w:cs="Times New Roman"/>
          <w:color w:val="000000" w:themeColor="text1"/>
          <w:sz w:val="28"/>
          <w:szCs w:val="28"/>
          <w14:textFill>
            <w14:solidFill>
              <w14:schemeClr w14:val="tx1"/>
            </w14:solidFill>
          </w14:textFill>
        </w:rPr>
        <w:t>1</w:t>
      </w:r>
      <w:r>
        <w:rPr>
          <w:rFonts w:hint="eastAsia" w:ascii="Times New Roman" w:hAnsi="Times New Roman" w:eastAsia="仿宋" w:cs="Times New Roman"/>
          <w:color w:val="000000" w:themeColor="text1"/>
          <w:sz w:val="28"/>
          <w:szCs w:val="28"/>
          <w14:textFill>
            <w14:solidFill>
              <w14:schemeClr w14:val="tx1"/>
            </w14:solidFill>
          </w14:textFill>
        </w:rPr>
        <w:t>人，按照世界银行相关政策要求，负责本项目财务日常管理、编制项目财务报告，并配合提交项目监督管理及审计所需的所有资料。</w:t>
      </w:r>
    </w:p>
    <w:p w14:paraId="241C9264">
      <w:pPr>
        <w:pStyle w:val="3"/>
        <w:keepNext w:val="0"/>
        <w:keepLines w:val="0"/>
        <w:snapToGrid/>
        <w:spacing w:before="0" w:after="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七、环境社会风险要求</w:t>
      </w:r>
    </w:p>
    <w:p w14:paraId="241C9265">
      <w:pPr>
        <w:ind w:firstLine="420" w:firstLineChars="150"/>
        <w:rPr>
          <w:rFonts w:ascii="Times New Roman" w:hAnsi="Times New Roman" w:eastAsia="仿宋" w:cs="Times New Roman"/>
          <w:sz w:val="28"/>
          <w:szCs w:val="28"/>
        </w:rPr>
      </w:pPr>
      <w:r>
        <w:rPr>
          <w:rFonts w:hint="eastAsia" w:ascii="Times New Roman" w:hAnsi="Times New Roman" w:eastAsia="仿宋" w:cs="Times New Roman"/>
          <w:sz w:val="28"/>
          <w:szCs w:val="28"/>
        </w:rPr>
        <w:t>本咨询服务分包项目的设计和实施，应依据世界银行《环境和社会管理框架》及世界银行的《技术援助与环境社会框架指南》中的相关要求，按照项目的《环境社会管理框架》中制定的环境社会管理程序对分包任务所涉及的潜在环境和社会风险及影响进行筛选</w:t>
      </w:r>
      <w:r>
        <w:rPr>
          <w:rFonts w:ascii="Times New Roman" w:hAnsi="Times New Roman" w:eastAsia="仿宋" w:cs="Times New Roman"/>
          <w:sz w:val="28"/>
          <w:szCs w:val="28"/>
        </w:rPr>
        <w:t>/</w:t>
      </w:r>
      <w:r>
        <w:rPr>
          <w:rFonts w:hint="eastAsia" w:ascii="Times New Roman" w:hAnsi="Times New Roman" w:eastAsia="仿宋" w:cs="Times New Roman"/>
          <w:sz w:val="28"/>
          <w:szCs w:val="28"/>
        </w:rPr>
        <w:t>分析和评价，并提出应对措施和建议，确保项目活动及产出符合项目制定的环境和社会管理框架（</w:t>
      </w:r>
      <w:r>
        <w:rPr>
          <w:rFonts w:ascii="Times New Roman" w:hAnsi="Times New Roman" w:eastAsia="仿宋" w:cs="Times New Roman"/>
          <w:sz w:val="28"/>
          <w:szCs w:val="28"/>
        </w:rPr>
        <w:t>ESMF</w:t>
      </w:r>
      <w:r>
        <w:rPr>
          <w:rFonts w:hint="eastAsia" w:ascii="Times New Roman" w:hAnsi="Times New Roman" w:eastAsia="仿宋" w:cs="Times New Roman"/>
          <w:sz w:val="28"/>
          <w:szCs w:val="28"/>
        </w:rPr>
        <w:t>）、环境和社会承诺计划（</w:t>
      </w:r>
      <w:r>
        <w:rPr>
          <w:rFonts w:ascii="Times New Roman" w:hAnsi="Times New Roman" w:eastAsia="仿宋" w:cs="Times New Roman"/>
          <w:sz w:val="28"/>
          <w:szCs w:val="28"/>
        </w:rPr>
        <w:t>ESCP</w:t>
      </w:r>
      <w:r>
        <w:rPr>
          <w:rFonts w:hint="eastAsia" w:ascii="Times New Roman" w:hAnsi="Times New Roman" w:eastAsia="仿宋" w:cs="Times New Roman"/>
          <w:sz w:val="28"/>
          <w:szCs w:val="28"/>
        </w:rPr>
        <w:t>）及利益相关方参与计划（</w:t>
      </w:r>
      <w:r>
        <w:rPr>
          <w:rFonts w:ascii="Times New Roman" w:hAnsi="Times New Roman" w:eastAsia="仿宋" w:cs="Times New Roman"/>
          <w:sz w:val="28"/>
          <w:szCs w:val="28"/>
        </w:rPr>
        <w:t>SEP</w:t>
      </w:r>
      <w:r>
        <w:rPr>
          <w:rFonts w:hint="eastAsia" w:ascii="Times New Roman" w:hAnsi="Times New Roman" w:eastAsia="仿宋" w:cs="Times New Roman"/>
          <w:sz w:val="28"/>
          <w:szCs w:val="28"/>
        </w:rPr>
        <w:t>）的相关要求。</w:t>
      </w:r>
    </w:p>
    <w:p w14:paraId="241C9266">
      <w:pPr>
        <w:ind w:firstLine="420" w:firstLineChars="150"/>
        <w:rPr>
          <w:rFonts w:ascii="Times New Roman" w:hAnsi="Times New Roman" w:eastAsia="仿宋" w:cs="Times New Roman"/>
          <w:sz w:val="28"/>
          <w:szCs w:val="28"/>
        </w:rPr>
      </w:pPr>
      <w:r>
        <w:rPr>
          <w:rFonts w:hint="eastAsia" w:ascii="Times New Roman" w:hAnsi="Times New Roman" w:eastAsia="仿宋" w:cs="Times New Roman"/>
          <w:sz w:val="28"/>
          <w:szCs w:val="28"/>
        </w:rPr>
        <w:t>根据项目管理办公室所聘请的环境社会专家的意见，确定本分包任务所需要准备的环境、社会文件的类型及要求（文件类型指的是根据研究课题的类型准备相应文件）。</w:t>
      </w:r>
    </w:p>
    <w:p w14:paraId="241C9267">
      <w:pPr>
        <w:ind w:firstLine="420" w:firstLineChars="150"/>
        <w:rPr>
          <w:rFonts w:ascii="Times New Roman" w:hAnsi="Times New Roman" w:eastAsia="仿宋" w:cs="Times New Roman"/>
          <w:sz w:val="28"/>
          <w:szCs w:val="28"/>
        </w:rPr>
      </w:pPr>
      <w:r>
        <w:rPr>
          <w:rFonts w:hint="eastAsia" w:ascii="Times New Roman" w:hAnsi="Times New Roman" w:eastAsia="仿宋" w:cs="Times New Roman"/>
          <w:sz w:val="28"/>
          <w:szCs w:val="28"/>
        </w:rPr>
        <w:t>按照世行《技术援助与环境社会框架指南》确定是否需要编制单独的环境社会评价文件包括规划评价或战略评价报告，还是可以仅作为研究报告的一个章节。</w:t>
      </w:r>
    </w:p>
    <w:p w14:paraId="241C9268">
      <w:pPr>
        <w:ind w:firstLine="420" w:firstLineChars="150"/>
        <w:rPr>
          <w:rFonts w:ascii="Times New Roman" w:hAnsi="Times New Roman" w:eastAsia="仿宋" w:cs="Times New Roman"/>
          <w:sz w:val="28"/>
          <w:szCs w:val="28"/>
        </w:rPr>
      </w:pPr>
      <w:r>
        <w:rPr>
          <w:rFonts w:hint="eastAsia" w:ascii="Times New Roman" w:hAnsi="Times New Roman" w:eastAsia="仿宋" w:cs="Times New Roman"/>
          <w:sz w:val="28"/>
          <w:szCs w:val="28"/>
        </w:rPr>
        <w:t>在环境社会专家的指导下，根据本项目活动所涉及的环境社会风险类型，并结合项目活动本身需要，召开项目利益相关方磋商会、咨询会、培训会、宣贯会及研讨会等，制定并实施信息公开计划及公众参与计划；同时根据要求，参加世界银行及项目管理办公室组织的相关环境社会风险类会议。</w:t>
      </w:r>
    </w:p>
    <w:p w14:paraId="241C9269">
      <w:pPr>
        <w:ind w:firstLine="420" w:firstLineChars="150"/>
        <w:rPr>
          <w:rFonts w:ascii="Times New Roman" w:hAnsi="Times New Roman" w:eastAsia="仿宋" w:cs="Times New Roman"/>
          <w:sz w:val="28"/>
          <w:szCs w:val="28"/>
        </w:rPr>
      </w:pPr>
      <w:r>
        <w:rPr>
          <w:rFonts w:hint="eastAsia" w:ascii="Times New Roman" w:hAnsi="Times New Roman" w:eastAsia="仿宋" w:cs="Times New Roman"/>
          <w:sz w:val="28"/>
          <w:szCs w:val="28"/>
        </w:rPr>
        <w:t>根据项目管理办公室的要求，每半年提供本分包项目在环境社会风险方面所开展的工作进展，并接受项目管理办公室及其所聘请环境社会专家的监督和指导。</w:t>
      </w:r>
    </w:p>
    <w:p w14:paraId="6F7908CC">
      <w:pPr>
        <w:ind w:firstLine="420" w:firstLineChars="150"/>
        <w:rPr>
          <w:rFonts w:eastAsia="仿宋"/>
          <w:sz w:val="28"/>
          <w:szCs w:val="28"/>
        </w:rPr>
      </w:pPr>
      <w:r>
        <w:rPr>
          <w:rFonts w:hint="eastAsia" w:ascii="Times New Roman" w:hAnsi="Times New Roman" w:eastAsia="仿宋" w:cs="Times New Roman"/>
          <w:sz w:val="28"/>
          <w:szCs w:val="28"/>
        </w:rPr>
        <w:t>所有交付成果须包含不少于一（</w:t>
      </w:r>
      <w:r>
        <w:rPr>
          <w:rFonts w:ascii="Times New Roman" w:hAnsi="Times New Roman" w:eastAsia="仿宋" w:cs="Times New Roman"/>
          <w:sz w:val="28"/>
          <w:szCs w:val="28"/>
        </w:rPr>
        <w:t>1</w:t>
      </w:r>
      <w:r>
        <w:rPr>
          <w:rFonts w:hint="eastAsia" w:ascii="Times New Roman" w:hAnsi="Times New Roman" w:eastAsia="仿宋" w:cs="Times New Roman"/>
          <w:sz w:val="28"/>
          <w:szCs w:val="28"/>
        </w:rPr>
        <w:t>）页的专项环境与社会影响分析章节，内容须完整涵盖以下要素：</w:t>
      </w:r>
    </w:p>
    <w:p w14:paraId="61C9C6D4">
      <w:pPr>
        <w:ind w:firstLine="420" w:firstLineChars="150"/>
        <w:rPr>
          <w:rFonts w:eastAsia="仿宋"/>
          <w:sz w:val="28"/>
          <w:szCs w:val="28"/>
        </w:rPr>
      </w:pPr>
      <w:r>
        <w:rPr>
          <w:rFonts w:hint="eastAsia" w:ascii="Times New Roman" w:hAnsi="Times New Roman" w:eastAsia="仿宋" w:cs="Times New Roman"/>
          <w:sz w:val="28"/>
          <w:szCs w:val="28"/>
        </w:rPr>
        <w:t>（1）下游影响识别：识别并分析本交付成果所提出的政策建议、技术指南或制度方案在被后续采纳和实施后，可能对区域环境、行业生产、相关社区就业及民生等方面产生的间接影响和长远风险；</w:t>
      </w:r>
    </w:p>
    <w:p w14:paraId="4B127F6B">
      <w:pPr>
        <w:ind w:firstLine="420" w:firstLineChars="150"/>
        <w:rPr>
          <w:rFonts w:eastAsia="仿宋"/>
          <w:sz w:val="28"/>
          <w:szCs w:val="28"/>
        </w:rPr>
      </w:pPr>
      <w:r>
        <w:rPr>
          <w:rFonts w:hint="eastAsia" w:ascii="Times New Roman" w:hAnsi="Times New Roman" w:eastAsia="仿宋" w:cs="Times New Roman"/>
          <w:sz w:val="28"/>
          <w:szCs w:val="28"/>
        </w:rPr>
        <w:t>（2）弱势群体影响分析：在下游影响识别的基础上，专项评估上述政策或技术变化对弱势群体（包括但不限于低收入群体、受碳市场政策影响的特定行业从业人员及其家属）可能造成的差异性影响；</w:t>
      </w:r>
    </w:p>
    <w:p w14:paraId="18D53A77">
      <w:pPr>
        <w:ind w:firstLine="420" w:firstLineChars="150"/>
        <w:rPr>
          <w:rFonts w:eastAsia="仿宋"/>
          <w:sz w:val="28"/>
          <w:szCs w:val="28"/>
        </w:rPr>
      </w:pPr>
      <w:r>
        <w:rPr>
          <w:rFonts w:hint="eastAsia" w:ascii="Times New Roman" w:hAnsi="Times New Roman" w:eastAsia="仿宋" w:cs="Times New Roman"/>
          <w:sz w:val="28"/>
          <w:szCs w:val="28"/>
        </w:rPr>
        <w:t>（3）缓解措施建议：针对已识别的下游影响和弱势群体风险，提出具体、可操作的缓解和应对措施建议。</w:t>
      </w:r>
    </w:p>
    <w:p w14:paraId="0398DD7C">
      <w:pPr>
        <w:ind w:firstLine="420" w:firstLineChars="150"/>
        <w:rPr>
          <w:rFonts w:eastAsia="仿宋"/>
          <w:sz w:val="28"/>
          <w:szCs w:val="28"/>
        </w:rPr>
      </w:pPr>
      <w:r>
        <w:rPr>
          <w:rFonts w:hint="eastAsia" w:ascii="Times New Roman" w:hAnsi="Times New Roman" w:eastAsia="仿宋" w:cs="Times New Roman"/>
          <w:sz w:val="28"/>
          <w:szCs w:val="28"/>
        </w:rPr>
        <w:t>上述章节的篇幅应与交付成果所涉及议题的复杂程度相适应，原则上不少于一（1）页，如研究内容涉及重大政策调整或显著社会影响，应适当增加篇幅或根据项目管理办公室环境社会专家的意见决定是否编制独立的环境社会评价文件。</w:t>
      </w:r>
    </w:p>
    <w:p w14:paraId="241C926A">
      <w:pPr>
        <w:pStyle w:val="3"/>
        <w:keepNext w:val="0"/>
        <w:keepLines w:val="0"/>
        <w:snapToGrid/>
        <w:spacing w:before="0" w:after="0"/>
        <w:rPr>
          <w:rFonts w:ascii="Times New Roman" w:hAnsi="Times New Roman" w:eastAsia="仿宋" w:cs="Times New Roman"/>
          <w:b/>
          <w:bCs/>
          <w:sz w:val="28"/>
          <w:szCs w:val="28"/>
        </w:rPr>
      </w:pPr>
      <w:r>
        <w:rPr>
          <w:rFonts w:hint="eastAsia" w:ascii="Times New Roman" w:hAnsi="Times New Roman" w:eastAsia="仿宋" w:cs="Times New Roman"/>
          <w:b/>
          <w:bCs/>
          <w:sz w:val="28"/>
          <w:szCs w:val="28"/>
        </w:rPr>
        <w:t>八、采购方式</w:t>
      </w:r>
    </w:p>
    <w:p w14:paraId="241C926B">
      <w:pPr>
        <w:ind w:firstLine="420" w:firstLineChars="150"/>
        <w:rPr>
          <w:rFonts w:ascii="Times New Roman" w:hAnsi="Times New Roman" w:eastAsia="仿宋" w:cs="Times New Roman"/>
          <w:sz w:val="28"/>
          <w:szCs w:val="28"/>
        </w:rPr>
      </w:pPr>
      <w:r>
        <w:rPr>
          <w:rFonts w:hint="eastAsia" w:ascii="Times New Roman" w:hAnsi="Times New Roman" w:eastAsia="仿宋" w:cs="Times New Roman"/>
          <w:sz w:val="28"/>
          <w:szCs w:val="28"/>
        </w:rPr>
        <w:t>本项目分包工作任务拟采用基于咨询顾问资历的选择（</w:t>
      </w:r>
      <w:r>
        <w:rPr>
          <w:rFonts w:ascii="Times New Roman" w:hAnsi="Times New Roman" w:eastAsia="仿宋" w:cs="Times New Roman"/>
          <w:sz w:val="28"/>
          <w:szCs w:val="28"/>
        </w:rPr>
        <w:t>CQS</w:t>
      </w:r>
      <w:r>
        <w:rPr>
          <w:rFonts w:hint="eastAsia" w:ascii="Times New Roman" w:hAnsi="Times New Roman" w:eastAsia="仿宋" w:cs="Times New Roman"/>
          <w:sz w:val="28"/>
          <w:szCs w:val="28"/>
        </w:rPr>
        <w:t>）方式进行采购。</w:t>
      </w:r>
    </w:p>
    <w:p w14:paraId="241C926F">
      <w:pPr>
        <w:spacing w:line="360" w:lineRule="auto"/>
        <w:rPr>
          <w:rFonts w:ascii="Times New Roman" w:hAnsi="Times New Roman" w:eastAsia="宋体" w:cs="Times New Roman"/>
          <w:sz w:val="24"/>
          <w:szCs w:val="24"/>
        </w:rPr>
      </w:pPr>
    </w:p>
    <w:p w14:paraId="241C9274">
      <w:pPr>
        <w:spacing w:line="360" w:lineRule="auto"/>
        <w:rPr>
          <w:rFonts w:ascii="Times New Roman" w:hAnsi="Times New Roman" w:eastAsia="宋体" w:cs="Times New Roman"/>
          <w:sz w:val="24"/>
          <w:szCs w:val="24"/>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汉仪书宋二KW">
    <w:altName w:val="书宋-简"/>
    <w:panose1 w:val="00020600040101010101"/>
    <w:charset w:val="86"/>
    <w:family w:val="auto"/>
    <w:pitch w:val="default"/>
    <w:sig w:usb0="00000000" w:usb1="00000000" w:usb2="00000016"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汉仪中等线KW">
    <w:altName w:val="书宋-简"/>
    <w:panose1 w:val="01010104010101010101"/>
    <w:charset w:val="86"/>
    <w:family w:val="auto"/>
    <w:pitch w:val="default"/>
    <w:sig w:usb0="00000000" w:usb1="00000000" w:usb2="00000000" w:usb3="00000000" w:csb0="00040001" w:csb1="00000000"/>
  </w:font>
  <w:font w:name="等线 Light">
    <w:altName w:val="书宋-简"/>
    <w:panose1 w:val="02010600030101010101"/>
    <w:charset w:val="86"/>
    <w:family w:val="auto"/>
    <w:pitch w:val="default"/>
    <w:sig w:usb0="00000000" w:usb1="00000000" w:usb2="00000016" w:usb3="00000000" w:csb0="0004000F" w:csb1="00000000"/>
  </w:font>
  <w:font w:name="Microsoft YaHei UI">
    <w:altName w:val="微软雅黑"/>
    <w:panose1 w:val="020B0503020204020204"/>
    <w:charset w:val="86"/>
    <w:family w:val="swiss"/>
    <w:pitch w:val="default"/>
    <w:sig w:usb0="00000000" w:usb1="00000000" w:usb2="00000016" w:usb3="00000000" w:csb0="0004001F" w:csb1="00000000"/>
  </w:font>
  <w:font w:name="苹方-简">
    <w:altName w:val="Noto Sans CJK JP"/>
    <w:panose1 w:val="020B0400000000000000"/>
    <w:charset w:val="86"/>
    <w:family w:val="auto"/>
    <w:pitch w:val="default"/>
    <w:sig w:usb0="00000000" w:usb1="00000000" w:usb2="00000017" w:usb3="00000000" w:csb0="00040001" w:csb1="00000000"/>
  </w:font>
  <w:font w:name="Noto Sans CJK JP">
    <w:panose1 w:val="020B0500000000000000"/>
    <w:charset w:val="86"/>
    <w:family w:val="auto"/>
    <w:pitch w:val="default"/>
    <w:sig w:usb0="30000083" w:usb1="2BDF3C10" w:usb2="00000016" w:usb3="00000000" w:csb0="602E0107"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altName w:val="Noto Sans Masaram Gondi"/>
    <w:panose1 w:val="020B0502040204020203"/>
    <w:charset w:val="00"/>
    <w:family w:val="swiss"/>
    <w:pitch w:val="default"/>
    <w:sig w:usb0="00000000" w:usb1="00000000" w:usb2="00000009" w:usb3="00000000" w:csb0="200001FF" w:csb1="00000000"/>
  </w:font>
  <w:font w:name="Noto Sans Masaram Gondi">
    <w:panose1 w:val="020B0502040404020203"/>
    <w:charset w:val="00"/>
    <w:family w:val="auto"/>
    <w:pitch w:val="default"/>
    <w:sig w:usb0="A000806F" w:usb1="0200204A" w:usb2="00000000" w:usb3="00000000" w:csb0="00000093" w:csb1="00000000"/>
  </w:font>
  <w:font w:name="FTToken">
    <w:panose1 w:val="05000000000000000000"/>
    <w:charset w:val="00"/>
    <w:family w:val="auto"/>
    <w:pitch w:val="default"/>
    <w:sig w:usb0="00000000" w:usb1="10000000" w:usb2="00000000" w:usb3="00000000" w:csb0="80000000" w:csb1="00000000"/>
  </w:font>
  <w:font w:name="Aptos">
    <w:altName w:val="HarmonyOS Sans SC"/>
    <w:panose1 w:val="020B0004020202020204"/>
    <w:charset w:val="00"/>
    <w:family w:val="swiss"/>
    <w:pitch w:val="default"/>
    <w:sig w:usb0="00000000" w:usb1="00000000" w:usb2="00000000" w:usb3="00000000" w:csb0="2000019F" w:csb1="00000000"/>
  </w:font>
  <w:font w:name="HarmonyOS Sans SC">
    <w:panose1 w:val="00000500000000000000"/>
    <w:charset w:val="86"/>
    <w:family w:val="auto"/>
    <w:pitch w:val="default"/>
    <w:sig w:usb0="A00002BF" w:usb1="18E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鴻蒙黑體">
    <w:panose1 w:val="00020600040101010101"/>
    <w:charset w:val="88"/>
    <w:family w:val="auto"/>
    <w:pitch w:val="default"/>
    <w:sig w:usb0="E00002FF" w:usb1="2ACF7CFB" w:usb2="00000016" w:usb3="00000000" w:csb0="00100001" w:csb1="00000000"/>
  </w:font>
  <w:font w:name="等线 Light">
    <w:altName w:val="鸿蒙黑体"/>
    <w:panose1 w:val="00000000000000000000"/>
    <w:charset w:val="00"/>
    <w:family w:val="auto"/>
    <w:pitch w:val="default"/>
    <w:sig w:usb0="00000000" w:usb1="00000000" w:usb2="00000000" w:usb3="00000000" w:csb0="00000000" w:csb1="00000000"/>
  </w:font>
  <w:font w:name="鸿蒙黑体">
    <w:panose1 w:val="00000500000000000000"/>
    <w:charset w:val="86"/>
    <w:family w:val="auto"/>
    <w:pitch w:val="default"/>
    <w:sig w:usb0="A00002BF" w:usb1="18EF7CFA" w:usb2="00000016" w:usb3="00000000" w:csb0="00040001" w:csb1="00000000"/>
  </w:font>
  <w:font w:name="HarmonyOS Sans">
    <w:panose1 w:val="00000500000000000000"/>
    <w:charset w:val="00"/>
    <w:family w:val="auto"/>
    <w:pitch w:val="default"/>
    <w:sig w:usb0="A0000287" w:usb1="00000011" w:usb2="00000000" w:usb3="00000000" w:csb0="0000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C9277">
    <w:pPr>
      <w:pStyle w:val="13"/>
      <w:jc w:val="center"/>
      <w:rPr>
        <w:rFonts w:ascii="Times New Roman" w:hAnsi="Times New Roman" w:cs="Times New Roman"/>
      </w:rPr>
    </w:pPr>
    <w:r>
      <mc:AlternateContent>
        <mc:Choice Requires="wps">
          <w:drawing>
            <wp:anchor distT="0" distB="0" distL="0" distR="0" simplePos="0" relativeHeight="251659264" behindDoc="0" locked="0" layoutInCell="1" allowOverlap="1">
              <wp:simplePos x="0" y="0"/>
              <wp:positionH relativeFrom="page">
                <wp:align>right</wp:align>
              </wp:positionH>
              <wp:positionV relativeFrom="page">
                <wp:align>bottom</wp:align>
              </wp:positionV>
              <wp:extent cx="1170305" cy="345440"/>
              <wp:effectExtent l="0" t="0" r="0" b="0"/>
              <wp:wrapNone/>
              <wp:docPr id="1469693169" name="Text Box 3" descr="Official Use Only"/>
              <wp:cNvGraphicFramePr/>
              <a:graphic xmlns:a="http://schemas.openxmlformats.org/drawingml/2006/main">
                <a:graphicData uri="http://schemas.microsoft.com/office/word/2010/wordprocessingShape">
                  <wps:wsp>
                    <wps:cNvSpPr txBox="1"/>
                    <wps:spPr>
                      <a:xfrm>
                        <a:off x="0" y="0"/>
                        <a:ext cx="1170305" cy="345440"/>
                      </a:xfrm>
                      <a:prstGeom prst="rect">
                        <a:avLst/>
                      </a:prstGeom>
                      <a:noFill/>
                      <a:ln>
                        <a:noFill/>
                      </a:ln>
                    </wps:spPr>
                    <wps:txbx>
                      <w:txbxContent>
                        <w:p w14:paraId="720FA925">
                          <w:pPr>
                            <w:rPr>
                              <w:rFonts w:ascii="Aptos" w:hAnsi="Aptos" w:eastAsia="Aptos" w:cs="Aptos"/>
                              <w:color w:val="000000"/>
                              <w:sz w:val="20"/>
                              <w:szCs w:val="20"/>
                            </w:rPr>
                          </w:pPr>
                          <w:r>
                            <w:rPr>
                              <w:rFonts w:ascii="Aptos" w:hAnsi="Aptos" w:eastAsia="Aptos" w:cs="Aptos"/>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spAutoFit/>
                    </wps:bodyPr>
                  </wps:wsp>
                </a:graphicData>
              </a:graphic>
            </wp:anchor>
          </w:drawing>
        </mc:Choice>
        <mc:Fallback>
          <w:pict>
            <v:shape id="Text Box 3" o:spid="_x0000_s1026" o:spt="202" alt="Official Use Only" type="#_x0000_t202" style="position:absolute;left:0pt;height:27.2pt;width:92.15pt;mso-position-horizontal:righ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uJL3bVAAAABAEAAA8AAAAAAAAAAQAgAAAAIgAAAGRycy9k&#10;b3ducmV2LnhtbFBLAQIUABQAAAAIAIdO4kBl/fJrPgIAAHcEAAAOAAAAAAAAAAEAIAAAACQBAABk&#10;cnMvZTJvRG9jLnhtbFBLBQYAAAAABgAGAFkBAADUBQAAAAA=&#10;">
              <v:fill on="f" focussize="0,0"/>
              <v:stroke on="f"/>
              <v:imagedata o:title=""/>
              <o:lock v:ext="edit" aspectratio="f"/>
              <v:textbox inset="0mm,0mm,20pt,15pt" style="mso-fit-shape-to-text:t;">
                <w:txbxContent>
                  <w:p w14:paraId="720FA925">
                    <w:pPr>
                      <w:rPr>
                        <w:rFonts w:ascii="Aptos" w:hAnsi="Aptos" w:eastAsia="Aptos" w:cs="Aptos"/>
                        <w:color w:val="000000"/>
                        <w:sz w:val="20"/>
                        <w:szCs w:val="20"/>
                      </w:rPr>
                    </w:pPr>
                    <w:r>
                      <w:rPr>
                        <w:rFonts w:ascii="Aptos" w:hAnsi="Aptos" w:eastAsia="Aptos" w:cs="Aptos"/>
                        <w:color w:val="000000"/>
                        <w:sz w:val="20"/>
                        <w:szCs w:val="20"/>
                      </w:rPr>
                      <w:t>Official Use Only</w:t>
                    </w:r>
                  </w:p>
                </w:txbxContent>
              </v:textbox>
            </v:shape>
          </w:pict>
        </mc:Fallback>
      </mc:AlternateContent>
    </w:r>
    <w:sdt>
      <w:sdtPr>
        <w:id w:val="-1"/>
      </w:sdtPr>
      <w:sdtEndPr>
        <w:rPr>
          <w:rFonts w:ascii="Times New Roman" w:hAnsi="Times New Roman" w:cs="Times New Roman"/>
        </w:rPr>
      </w:sdtEndPr>
      <w:sdtContent>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sdtContent>
    </w:sdt>
  </w:p>
  <w:p w14:paraId="241C9278">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241C9279">
      <w:pPr>
        <w:pStyle w:val="16"/>
        <w:rPr>
          <w:rFonts w:ascii="Times New Roman" w:hAnsi="Times New Roman" w:eastAsia="仿宋"/>
          <w:sz w:val="18"/>
        </w:rPr>
      </w:pPr>
      <w:bookmarkStart w:id="0" w:name="_GoBack"/>
      <w:r>
        <w:rPr>
          <w:rStyle w:val="27"/>
          <w:rFonts w:ascii="Times New Roman" w:hAnsi="Times New Roman" w:eastAsia="仿宋"/>
          <w:sz w:val="18"/>
        </w:rPr>
        <w:footnoteRef/>
      </w:r>
      <w:r>
        <w:rPr>
          <w:rFonts w:ascii="Times New Roman" w:hAnsi="Times New Roman" w:eastAsia="仿宋"/>
          <w:sz w:val="18"/>
        </w:rPr>
        <w:t xml:space="preserve"> </w:t>
      </w:r>
      <w:r>
        <w:rPr>
          <w:rFonts w:ascii="Times New Roman" w:hAnsi="Times New Roman" w:eastAsia="仿宋" w:cs="Segoe UI"/>
          <w:color w:val="0F1115"/>
          <w:sz w:val="18"/>
          <w:szCs w:val="18"/>
          <w:shd w:val="clear" w:color="auto" w:fill="FFFFFF"/>
        </w:rPr>
        <w:t>PMI‑</w:t>
      </w:r>
      <w:r>
        <w:rPr>
          <w:rFonts w:hint="eastAsia" w:ascii="Times New Roman" w:hAnsi="Times New Roman" w:eastAsia="仿宋" w:cs="Segoe UI"/>
          <w:color w:val="0F1115"/>
          <w:sz w:val="18"/>
          <w:szCs w:val="18"/>
          <w:shd w:val="clear" w:color="auto" w:fill="FFFFFF"/>
        </w:rPr>
        <w:t>1</w:t>
      </w:r>
      <w:r>
        <w:rPr>
          <w:rFonts w:ascii="Times New Roman" w:hAnsi="Times New Roman" w:eastAsia="仿宋" w:cs="Segoe UI"/>
          <w:color w:val="0F1115"/>
          <w:sz w:val="18"/>
          <w:szCs w:val="18"/>
          <w:shd w:val="clear" w:color="auto" w:fill="FFFFFF"/>
        </w:rPr>
        <w:t>分包</w:t>
      </w:r>
      <w:r>
        <w:rPr>
          <w:rFonts w:hint="eastAsia" w:ascii="Times New Roman" w:hAnsi="Times New Roman" w:eastAsia="仿宋" w:cs="Segoe UI"/>
          <w:color w:val="0F1115"/>
          <w:sz w:val="18"/>
          <w:szCs w:val="18"/>
          <w:shd w:val="clear" w:color="auto" w:fill="FFFFFF"/>
        </w:rPr>
        <w:t>任务</w:t>
      </w:r>
      <w:r>
        <w:rPr>
          <w:rFonts w:ascii="Times New Roman" w:hAnsi="Times New Roman" w:eastAsia="仿宋" w:cs="Segoe UI"/>
          <w:color w:val="0F1115"/>
          <w:sz w:val="18"/>
          <w:szCs w:val="18"/>
          <w:shd w:val="clear" w:color="auto" w:fill="FFFFFF"/>
        </w:rPr>
        <w:t>旨在研究</w:t>
      </w:r>
      <w:r>
        <w:rPr>
          <w:rFonts w:hint="eastAsia" w:ascii="Times New Roman" w:hAnsi="Times New Roman" w:eastAsia="仿宋"/>
          <w:sz w:val="18"/>
        </w:rPr>
        <w:t>碳排放总量减排政策背景和政策组合下碳定价机制的定位和实施路径。</w:t>
      </w:r>
    </w:p>
  </w:footnote>
  <w:footnote w:id="1">
    <w:p w14:paraId="241C927A">
      <w:pPr>
        <w:pStyle w:val="16"/>
        <w:rPr>
          <w:rFonts w:ascii="Times New Roman" w:hAnsi="Times New Roman" w:eastAsia="仿宋"/>
          <w:sz w:val="18"/>
        </w:rPr>
      </w:pPr>
      <w:r>
        <w:rPr>
          <w:rStyle w:val="27"/>
          <w:rFonts w:ascii="Times New Roman" w:hAnsi="Times New Roman" w:eastAsia="仿宋"/>
          <w:sz w:val="18"/>
        </w:rPr>
        <w:footnoteRef/>
      </w:r>
      <w:r>
        <w:rPr>
          <w:rFonts w:ascii="Times New Roman" w:hAnsi="Times New Roman" w:eastAsia="仿宋"/>
          <w:sz w:val="18"/>
        </w:rPr>
        <w:t xml:space="preserve"> </w:t>
      </w:r>
      <w:r>
        <w:rPr>
          <w:rFonts w:ascii="Times New Roman" w:hAnsi="Times New Roman" w:eastAsia="仿宋" w:cs="Segoe UI"/>
          <w:color w:val="0F1115"/>
          <w:sz w:val="18"/>
          <w:szCs w:val="18"/>
          <w:shd w:val="clear" w:color="auto" w:fill="FFFFFF"/>
        </w:rPr>
        <w:t>PMI‑2分包</w:t>
      </w:r>
      <w:r>
        <w:rPr>
          <w:rFonts w:hint="eastAsia" w:ascii="Times New Roman" w:hAnsi="Times New Roman" w:eastAsia="仿宋" w:cs="Segoe UI"/>
          <w:color w:val="0F1115"/>
          <w:sz w:val="18"/>
          <w:szCs w:val="18"/>
          <w:shd w:val="clear" w:color="auto" w:fill="FFFFFF"/>
        </w:rPr>
        <w:t>任务</w:t>
      </w:r>
      <w:r>
        <w:rPr>
          <w:rFonts w:ascii="Times New Roman" w:hAnsi="Times New Roman" w:eastAsia="仿宋" w:cs="Segoe UI"/>
          <w:color w:val="0F1115"/>
          <w:sz w:val="18"/>
          <w:szCs w:val="18"/>
          <w:shd w:val="clear" w:color="auto" w:fill="FFFFFF"/>
        </w:rPr>
        <w:t>旨在研究碳定价工具政策法规体系</w:t>
      </w:r>
      <w:r>
        <w:rPr>
          <w:rFonts w:hint="eastAsia" w:ascii="Times New Roman" w:hAnsi="Times New Roman" w:eastAsia="仿宋" w:cs="Segoe UI"/>
          <w:color w:val="0F1115"/>
          <w:sz w:val="18"/>
          <w:szCs w:val="18"/>
          <w:shd w:val="clear" w:color="auto" w:fill="FFFFFF"/>
        </w:rPr>
        <w:t>。</w:t>
      </w:r>
    </w:p>
  </w:footnote>
  <w:footnote w:id="2">
    <w:p w14:paraId="241C927B">
      <w:pPr>
        <w:pStyle w:val="16"/>
        <w:rPr>
          <w:rFonts w:ascii="Times New Roman" w:hAnsi="Times New Roman" w:eastAsia="仿宋"/>
          <w:sz w:val="18"/>
        </w:rPr>
      </w:pPr>
      <w:r>
        <w:rPr>
          <w:rStyle w:val="27"/>
          <w:rFonts w:ascii="Times New Roman" w:hAnsi="Times New Roman" w:eastAsia="仿宋"/>
          <w:sz w:val="18"/>
        </w:rPr>
        <w:footnoteRef/>
      </w:r>
      <w:r>
        <w:rPr>
          <w:rFonts w:ascii="Times New Roman" w:hAnsi="Times New Roman" w:eastAsia="仿宋"/>
          <w:sz w:val="18"/>
        </w:rPr>
        <w:t xml:space="preserve"> </w:t>
      </w:r>
      <w:r>
        <w:rPr>
          <w:rFonts w:hint="eastAsia" w:ascii="Times New Roman" w:hAnsi="Times New Roman" w:eastAsia="仿宋"/>
          <w:sz w:val="18"/>
        </w:rPr>
        <w:t>PMI-3分包任务旨在研究扩大ETS行业覆盖范围及完善国家ETS配额体系。</w:t>
      </w:r>
    </w:p>
  </w:footnote>
  <w:footnote w:id="3">
    <w:p w14:paraId="241C927C">
      <w:pPr>
        <w:pStyle w:val="16"/>
        <w:rPr>
          <w:rFonts w:ascii="Times New Roman" w:hAnsi="Times New Roman" w:eastAsia="仿宋"/>
          <w:sz w:val="18"/>
        </w:rPr>
      </w:pPr>
      <w:r>
        <w:rPr>
          <w:rStyle w:val="27"/>
          <w:rFonts w:ascii="Times New Roman" w:hAnsi="Times New Roman" w:eastAsia="仿宋"/>
          <w:sz w:val="18"/>
        </w:rPr>
        <w:footnoteRef/>
      </w:r>
      <w:r>
        <w:rPr>
          <w:rFonts w:ascii="Times New Roman" w:hAnsi="Times New Roman" w:eastAsia="仿宋"/>
          <w:sz w:val="18"/>
        </w:rPr>
        <w:t xml:space="preserve"> </w:t>
      </w:r>
      <w:r>
        <w:rPr>
          <w:rFonts w:ascii="Times New Roman" w:hAnsi="Times New Roman" w:eastAsia="仿宋" w:cs="Segoe UI"/>
          <w:color w:val="0F1115"/>
          <w:sz w:val="18"/>
          <w:szCs w:val="18"/>
          <w:shd w:val="clear" w:color="auto" w:fill="FFFFFF"/>
        </w:rPr>
        <w:t>PMI‑4分包</w:t>
      </w:r>
      <w:r>
        <w:rPr>
          <w:rFonts w:hint="eastAsia" w:ascii="Times New Roman" w:hAnsi="Times New Roman" w:eastAsia="仿宋" w:cs="Segoe UI"/>
          <w:color w:val="0F1115"/>
          <w:sz w:val="18"/>
          <w:szCs w:val="18"/>
          <w:shd w:val="clear" w:color="auto" w:fill="FFFFFF"/>
        </w:rPr>
        <w:t>任务</w:t>
      </w:r>
      <w:r>
        <w:rPr>
          <w:rFonts w:ascii="Times New Roman" w:hAnsi="Times New Roman" w:eastAsia="仿宋" w:cs="Segoe UI"/>
          <w:color w:val="0F1115"/>
          <w:sz w:val="18"/>
          <w:szCs w:val="18"/>
          <w:shd w:val="clear" w:color="auto" w:fill="FFFFFF"/>
        </w:rPr>
        <w:t>旨在研究提升ETS监管能力与加强数据管理平台建设、CCER制度实施效果评估及优化相关技术</w:t>
      </w:r>
      <w:r>
        <w:rPr>
          <w:rFonts w:hint="eastAsia" w:ascii="Times New Roman" w:hAnsi="Times New Roman" w:eastAsia="仿宋" w:cs="Segoe UI"/>
          <w:color w:val="0F1115"/>
          <w:sz w:val="18"/>
          <w:szCs w:val="18"/>
          <w:shd w:val="clear" w:color="auto" w:fill="FFFFFF"/>
        </w:rPr>
        <w:t>。</w:t>
      </w:r>
    </w:p>
  </w:footnote>
  <w:footnote w:id="4">
    <w:p w14:paraId="241C927D">
      <w:pPr>
        <w:pStyle w:val="16"/>
        <w:rPr>
          <w:rFonts w:ascii="Times New Roman" w:hAnsi="Times New Roman" w:eastAsia="仿宋"/>
          <w:sz w:val="18"/>
        </w:rPr>
      </w:pPr>
      <w:r>
        <w:rPr>
          <w:rStyle w:val="27"/>
          <w:rFonts w:ascii="Times New Roman" w:hAnsi="Times New Roman" w:eastAsia="仿宋"/>
          <w:sz w:val="18"/>
        </w:rPr>
        <w:footnoteRef/>
      </w:r>
      <w:r>
        <w:rPr>
          <w:rFonts w:ascii="Times New Roman" w:hAnsi="Times New Roman" w:eastAsia="仿宋"/>
          <w:sz w:val="18"/>
        </w:rPr>
        <w:t xml:space="preserve"> </w:t>
      </w:r>
      <w:r>
        <w:rPr>
          <w:rFonts w:hint="eastAsia" w:ascii="Times New Roman" w:hAnsi="Times New Roman" w:eastAsia="仿宋"/>
          <w:sz w:val="18"/>
        </w:rPr>
        <w:t>PMI-17分包任务旨在通过开展检查、开发培训材料、监督咨询/检测/核查技术服务机构、修订方法学或指南等方式加强ETS和CCER的MRV监督与管理。</w:t>
      </w:r>
    </w:p>
    <w:bookmarkEnd w:id="0"/>
  </w:footnote>
  <w:footnote w:id="5">
    <w:p w14:paraId="241C927E">
      <w:pPr>
        <w:pStyle w:val="16"/>
      </w:pPr>
      <w:r>
        <w:rPr>
          <w:rStyle w:val="27"/>
        </w:rPr>
        <w:footnoteRef/>
      </w:r>
      <w:r>
        <w:t xml:space="preserve"> </w:t>
      </w:r>
      <w:r>
        <w:rPr>
          <w:rFonts w:hint="eastAsia" w:ascii="Times New Roman" w:hAnsi="Times New Roman" w:eastAsia="宋体" w:cs="Times New Roman"/>
          <w:szCs w:val="18"/>
        </w:rPr>
        <w:t>中国市场伙伴实施基金赠款项目（P504267）的项目文件。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7528D"/>
    <w:multiLevelType w:val="singleLevel"/>
    <w:tmpl w:val="CBE7528D"/>
    <w:lvl w:ilvl="0" w:tentative="0">
      <w:start w:val="1"/>
      <w:numFmt w:val="lowerLetter"/>
      <w:lvlText w:val="%1."/>
      <w:lvlJc w:val="left"/>
      <w:pPr>
        <w:tabs>
          <w:tab w:val="left" w:pos="420"/>
        </w:tabs>
        <w:ind w:left="845" w:hanging="425"/>
      </w:pPr>
      <w:rPr>
        <w:rFonts w:hint="default"/>
      </w:rPr>
    </w:lvl>
  </w:abstractNum>
  <w:abstractNum w:abstractNumId="1">
    <w:nsid w:val="F79F99E7"/>
    <w:multiLevelType w:val="multilevel"/>
    <w:tmpl w:val="F79F99E7"/>
    <w:lvl w:ilvl="0" w:tentative="0">
      <w:start w:val="1"/>
      <w:numFmt w:val="bullet"/>
      <w:lvlText w:val=""/>
      <w:lvlJc w:val="left"/>
      <w:pPr>
        <w:tabs>
          <w:tab w:val="left" w:pos="840"/>
        </w:tabs>
        <w:ind w:left="1260" w:hanging="420"/>
      </w:pPr>
      <w:rPr>
        <w:rFonts w:hint="default" w:ascii="Wingdings" w:hAnsi="Wingdings"/>
        <w:b w:val="0"/>
        <w:bCs w:val="0"/>
      </w:rPr>
    </w:lvl>
    <w:lvl w:ilvl="1" w:tentative="0">
      <w:start w:val="1"/>
      <w:numFmt w:val="bullet"/>
      <w:lvlText w:val=""/>
      <w:lvlJc w:val="left"/>
      <w:pPr>
        <w:tabs>
          <w:tab w:val="left" w:pos="840"/>
        </w:tabs>
        <w:ind w:left="1680" w:hanging="420"/>
      </w:pPr>
      <w:rPr>
        <w:rFonts w:hint="default" w:ascii="Wingdings" w:hAnsi="Wingdings"/>
      </w:rPr>
    </w:lvl>
    <w:lvl w:ilvl="2" w:tentative="0">
      <w:start w:val="1"/>
      <w:numFmt w:val="bullet"/>
      <w:lvlText w:val=""/>
      <w:lvlJc w:val="left"/>
      <w:pPr>
        <w:tabs>
          <w:tab w:val="left" w:pos="1260"/>
        </w:tabs>
        <w:ind w:left="2100" w:hanging="420"/>
      </w:pPr>
      <w:rPr>
        <w:rFonts w:hint="default" w:ascii="Wingdings" w:hAnsi="Wingdings"/>
      </w:rPr>
    </w:lvl>
    <w:lvl w:ilvl="3" w:tentative="0">
      <w:start w:val="1"/>
      <w:numFmt w:val="bullet"/>
      <w:lvlText w:val=""/>
      <w:lvlJc w:val="left"/>
      <w:pPr>
        <w:tabs>
          <w:tab w:val="left" w:pos="1680"/>
        </w:tabs>
        <w:ind w:left="2520" w:hanging="420"/>
      </w:pPr>
      <w:rPr>
        <w:rFonts w:hint="default" w:ascii="Wingdings" w:hAnsi="Wingdings"/>
      </w:rPr>
    </w:lvl>
    <w:lvl w:ilvl="4" w:tentative="0">
      <w:start w:val="1"/>
      <w:numFmt w:val="bullet"/>
      <w:lvlText w:val=""/>
      <w:lvlJc w:val="left"/>
      <w:pPr>
        <w:tabs>
          <w:tab w:val="left" w:pos="2100"/>
        </w:tabs>
        <w:ind w:left="2940" w:hanging="420"/>
      </w:pPr>
      <w:rPr>
        <w:rFonts w:hint="default" w:ascii="Wingdings" w:hAnsi="Wingdings"/>
      </w:rPr>
    </w:lvl>
    <w:lvl w:ilvl="5" w:tentative="0">
      <w:start w:val="1"/>
      <w:numFmt w:val="bullet"/>
      <w:lvlText w:val=""/>
      <w:lvlJc w:val="left"/>
      <w:pPr>
        <w:tabs>
          <w:tab w:val="left" w:pos="2520"/>
        </w:tabs>
        <w:ind w:left="3360" w:hanging="420"/>
      </w:pPr>
      <w:rPr>
        <w:rFonts w:hint="default" w:ascii="Wingdings" w:hAnsi="Wingdings"/>
      </w:rPr>
    </w:lvl>
    <w:lvl w:ilvl="6" w:tentative="0">
      <w:start w:val="1"/>
      <w:numFmt w:val="bullet"/>
      <w:lvlText w:val=""/>
      <w:lvlJc w:val="left"/>
      <w:pPr>
        <w:tabs>
          <w:tab w:val="left" w:pos="2940"/>
        </w:tabs>
        <w:ind w:left="3780" w:hanging="420"/>
      </w:pPr>
      <w:rPr>
        <w:rFonts w:hint="default" w:ascii="Wingdings" w:hAnsi="Wingdings"/>
      </w:rPr>
    </w:lvl>
    <w:lvl w:ilvl="7" w:tentative="0">
      <w:start w:val="1"/>
      <w:numFmt w:val="bullet"/>
      <w:lvlText w:val=""/>
      <w:lvlJc w:val="left"/>
      <w:pPr>
        <w:tabs>
          <w:tab w:val="left" w:pos="3360"/>
        </w:tabs>
        <w:ind w:left="4200" w:hanging="420"/>
      </w:pPr>
      <w:rPr>
        <w:rFonts w:hint="default" w:ascii="Wingdings" w:hAnsi="Wingdings"/>
      </w:rPr>
    </w:lvl>
    <w:lvl w:ilvl="8" w:tentative="0">
      <w:start w:val="1"/>
      <w:numFmt w:val="bullet"/>
      <w:lvlText w:val=""/>
      <w:lvlJc w:val="left"/>
      <w:pPr>
        <w:tabs>
          <w:tab w:val="left" w:pos="3780"/>
        </w:tabs>
        <w:ind w:left="4620" w:hanging="420"/>
      </w:pPr>
      <w:rPr>
        <w:rFonts w:hint="default" w:ascii="Wingdings" w:hAnsi="Wingdings"/>
      </w:rPr>
    </w:lvl>
  </w:abstractNum>
  <w:abstractNum w:abstractNumId="2">
    <w:nsid w:val="3DD24FCC"/>
    <w:multiLevelType w:val="multilevel"/>
    <w:tmpl w:val="3DD24FCC"/>
    <w:lvl w:ilvl="0" w:tentative="0">
      <w:start w:val="1"/>
      <w:numFmt w:val="lowerLetter"/>
      <w:lvlText w:val="%1."/>
      <w:lvlJc w:val="left"/>
      <w:pPr>
        <w:ind w:left="360" w:hanging="360"/>
      </w:pPr>
      <w:rPr>
        <w:rFonts w:hint="default"/>
        <w:i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ED418F5"/>
    <w:multiLevelType w:val="multilevel"/>
    <w:tmpl w:val="3ED418F5"/>
    <w:lvl w:ilvl="0" w:tentative="0">
      <w:start w:val="1"/>
      <w:numFmt w:val="lowerLetter"/>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51878E4"/>
    <w:multiLevelType w:val="multilevel"/>
    <w:tmpl w:val="451878E4"/>
    <w:lvl w:ilvl="0" w:tentative="0">
      <w:start w:val="1"/>
      <w:numFmt w:val="lowerLetter"/>
      <w:lvlText w:val="%1."/>
      <w:lvlJc w:val="left"/>
      <w:pPr>
        <w:ind w:left="360" w:hanging="360"/>
      </w:pPr>
      <w:rPr>
        <w:rFonts w:hint="default"/>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6DEE3EB5"/>
    <w:multiLevelType w:val="singleLevel"/>
    <w:tmpl w:val="6DEE3EB5"/>
    <w:lvl w:ilvl="0" w:tentative="0">
      <w:start w:val="1"/>
      <w:numFmt w:val="lowerLetter"/>
      <w:lvlText w:val="%1."/>
      <w:lvlJc w:val="left"/>
      <w:pPr>
        <w:tabs>
          <w:tab w:val="left" w:pos="420"/>
        </w:tabs>
        <w:ind w:left="845" w:hanging="425"/>
      </w:pPr>
      <w:rPr>
        <w:rFonts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12"/>
    <w:footnote w:id="1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F8D"/>
    <w:rsid w:val="00011D06"/>
    <w:rsid w:val="00021A42"/>
    <w:rsid w:val="0002468F"/>
    <w:rsid w:val="00024BFA"/>
    <w:rsid w:val="00034AB7"/>
    <w:rsid w:val="00044098"/>
    <w:rsid w:val="00044C28"/>
    <w:rsid w:val="00054EE0"/>
    <w:rsid w:val="000609FB"/>
    <w:rsid w:val="00065347"/>
    <w:rsid w:val="00077DE4"/>
    <w:rsid w:val="0008210C"/>
    <w:rsid w:val="00093038"/>
    <w:rsid w:val="0009768D"/>
    <w:rsid w:val="000B746E"/>
    <w:rsid w:val="000C499F"/>
    <w:rsid w:val="000C4E01"/>
    <w:rsid w:val="000C6AB7"/>
    <w:rsid w:val="000D0D60"/>
    <w:rsid w:val="000D49A1"/>
    <w:rsid w:val="000E5F3C"/>
    <w:rsid w:val="000F11E1"/>
    <w:rsid w:val="000F5581"/>
    <w:rsid w:val="000F5671"/>
    <w:rsid w:val="000F5EEB"/>
    <w:rsid w:val="00125644"/>
    <w:rsid w:val="00135A5C"/>
    <w:rsid w:val="001459CD"/>
    <w:rsid w:val="00161CD5"/>
    <w:rsid w:val="00172311"/>
    <w:rsid w:val="00174037"/>
    <w:rsid w:val="00191557"/>
    <w:rsid w:val="00192434"/>
    <w:rsid w:val="00195C8E"/>
    <w:rsid w:val="001B5341"/>
    <w:rsid w:val="001E2FF2"/>
    <w:rsid w:val="001F5E33"/>
    <w:rsid w:val="001F7DEF"/>
    <w:rsid w:val="002030BA"/>
    <w:rsid w:val="002109F6"/>
    <w:rsid w:val="00212CBC"/>
    <w:rsid w:val="00227B69"/>
    <w:rsid w:val="00231887"/>
    <w:rsid w:val="00256976"/>
    <w:rsid w:val="002614A4"/>
    <w:rsid w:val="002667A8"/>
    <w:rsid w:val="0027515A"/>
    <w:rsid w:val="002833C7"/>
    <w:rsid w:val="00286AD2"/>
    <w:rsid w:val="00293FEC"/>
    <w:rsid w:val="002A1FC2"/>
    <w:rsid w:val="002A2C68"/>
    <w:rsid w:val="002A5C14"/>
    <w:rsid w:val="002A7934"/>
    <w:rsid w:val="002B4CBB"/>
    <w:rsid w:val="002B6DC8"/>
    <w:rsid w:val="002B7973"/>
    <w:rsid w:val="002C4323"/>
    <w:rsid w:val="002D0D6C"/>
    <w:rsid w:val="002D2CDC"/>
    <w:rsid w:val="002D64B4"/>
    <w:rsid w:val="002F0DA7"/>
    <w:rsid w:val="002F63E5"/>
    <w:rsid w:val="0030308B"/>
    <w:rsid w:val="00326B5B"/>
    <w:rsid w:val="003326F4"/>
    <w:rsid w:val="003506A2"/>
    <w:rsid w:val="00353205"/>
    <w:rsid w:val="003613F8"/>
    <w:rsid w:val="00364971"/>
    <w:rsid w:val="00367F22"/>
    <w:rsid w:val="003705A0"/>
    <w:rsid w:val="003710F4"/>
    <w:rsid w:val="0038244D"/>
    <w:rsid w:val="003B3CA3"/>
    <w:rsid w:val="003B491D"/>
    <w:rsid w:val="003B722F"/>
    <w:rsid w:val="003C3CFF"/>
    <w:rsid w:val="003D0B40"/>
    <w:rsid w:val="003D6BB1"/>
    <w:rsid w:val="003E583E"/>
    <w:rsid w:val="003F2630"/>
    <w:rsid w:val="003F36DC"/>
    <w:rsid w:val="00405551"/>
    <w:rsid w:val="00406780"/>
    <w:rsid w:val="004072F5"/>
    <w:rsid w:val="00411391"/>
    <w:rsid w:val="00412913"/>
    <w:rsid w:val="00414161"/>
    <w:rsid w:val="004159D7"/>
    <w:rsid w:val="00425623"/>
    <w:rsid w:val="00431635"/>
    <w:rsid w:val="00446C1E"/>
    <w:rsid w:val="0045531E"/>
    <w:rsid w:val="0046047B"/>
    <w:rsid w:val="00464F3E"/>
    <w:rsid w:val="004712D3"/>
    <w:rsid w:val="00471834"/>
    <w:rsid w:val="00472F13"/>
    <w:rsid w:val="0047303D"/>
    <w:rsid w:val="004766BC"/>
    <w:rsid w:val="004832CC"/>
    <w:rsid w:val="00497E44"/>
    <w:rsid w:val="004B1038"/>
    <w:rsid w:val="004D52CD"/>
    <w:rsid w:val="004E3C27"/>
    <w:rsid w:val="004E6ED2"/>
    <w:rsid w:val="004E7628"/>
    <w:rsid w:val="004F6FEF"/>
    <w:rsid w:val="00512632"/>
    <w:rsid w:val="00514A5C"/>
    <w:rsid w:val="0051600D"/>
    <w:rsid w:val="005172B5"/>
    <w:rsid w:val="005246E2"/>
    <w:rsid w:val="00524FF9"/>
    <w:rsid w:val="005250A9"/>
    <w:rsid w:val="00527ABB"/>
    <w:rsid w:val="005437B0"/>
    <w:rsid w:val="00566ACA"/>
    <w:rsid w:val="0057705D"/>
    <w:rsid w:val="00592F95"/>
    <w:rsid w:val="005A1B0A"/>
    <w:rsid w:val="005A3046"/>
    <w:rsid w:val="005A44F7"/>
    <w:rsid w:val="005B48E1"/>
    <w:rsid w:val="005B56E9"/>
    <w:rsid w:val="005B5D3B"/>
    <w:rsid w:val="005B7E80"/>
    <w:rsid w:val="005C3D51"/>
    <w:rsid w:val="005C5676"/>
    <w:rsid w:val="005D1517"/>
    <w:rsid w:val="005D3897"/>
    <w:rsid w:val="005E3265"/>
    <w:rsid w:val="005F1B76"/>
    <w:rsid w:val="005F697B"/>
    <w:rsid w:val="0060429C"/>
    <w:rsid w:val="0060579F"/>
    <w:rsid w:val="0060597F"/>
    <w:rsid w:val="00606D24"/>
    <w:rsid w:val="00614282"/>
    <w:rsid w:val="00615376"/>
    <w:rsid w:val="00617FC9"/>
    <w:rsid w:val="006272FB"/>
    <w:rsid w:val="00635431"/>
    <w:rsid w:val="00637FA6"/>
    <w:rsid w:val="0064421B"/>
    <w:rsid w:val="00652520"/>
    <w:rsid w:val="00672196"/>
    <w:rsid w:val="006724C0"/>
    <w:rsid w:val="00683746"/>
    <w:rsid w:val="006A161F"/>
    <w:rsid w:val="006B342A"/>
    <w:rsid w:val="006D1C40"/>
    <w:rsid w:val="006F3961"/>
    <w:rsid w:val="00703431"/>
    <w:rsid w:val="0071078E"/>
    <w:rsid w:val="00715D5D"/>
    <w:rsid w:val="00721634"/>
    <w:rsid w:val="007310A5"/>
    <w:rsid w:val="007340DC"/>
    <w:rsid w:val="00735B37"/>
    <w:rsid w:val="007418EF"/>
    <w:rsid w:val="00743FCF"/>
    <w:rsid w:val="0074640B"/>
    <w:rsid w:val="007560E8"/>
    <w:rsid w:val="007578A7"/>
    <w:rsid w:val="0076258F"/>
    <w:rsid w:val="00763277"/>
    <w:rsid w:val="00776F8D"/>
    <w:rsid w:val="00784EFF"/>
    <w:rsid w:val="007858A5"/>
    <w:rsid w:val="00795095"/>
    <w:rsid w:val="00795837"/>
    <w:rsid w:val="00797687"/>
    <w:rsid w:val="007A4BAB"/>
    <w:rsid w:val="007B41C8"/>
    <w:rsid w:val="007C012D"/>
    <w:rsid w:val="007D39C8"/>
    <w:rsid w:val="007F492A"/>
    <w:rsid w:val="007F78F4"/>
    <w:rsid w:val="008014C5"/>
    <w:rsid w:val="00810DCC"/>
    <w:rsid w:val="00841BFB"/>
    <w:rsid w:val="00845B1E"/>
    <w:rsid w:val="008515DE"/>
    <w:rsid w:val="00855341"/>
    <w:rsid w:val="00861625"/>
    <w:rsid w:val="00865754"/>
    <w:rsid w:val="0086604E"/>
    <w:rsid w:val="00871DF0"/>
    <w:rsid w:val="00877759"/>
    <w:rsid w:val="008851F7"/>
    <w:rsid w:val="0089638D"/>
    <w:rsid w:val="00896752"/>
    <w:rsid w:val="008977E0"/>
    <w:rsid w:val="008A02F5"/>
    <w:rsid w:val="008B5849"/>
    <w:rsid w:val="008C1C68"/>
    <w:rsid w:val="008D03C0"/>
    <w:rsid w:val="008D2C48"/>
    <w:rsid w:val="009021E9"/>
    <w:rsid w:val="00905520"/>
    <w:rsid w:val="009057DD"/>
    <w:rsid w:val="00912EE7"/>
    <w:rsid w:val="00920598"/>
    <w:rsid w:val="00920E56"/>
    <w:rsid w:val="00926324"/>
    <w:rsid w:val="00962008"/>
    <w:rsid w:val="00970E9F"/>
    <w:rsid w:val="0099463C"/>
    <w:rsid w:val="009A25B1"/>
    <w:rsid w:val="009A34EC"/>
    <w:rsid w:val="009A6A1D"/>
    <w:rsid w:val="009B278E"/>
    <w:rsid w:val="009B5EDD"/>
    <w:rsid w:val="009B7B2B"/>
    <w:rsid w:val="009C24B5"/>
    <w:rsid w:val="009C5E0A"/>
    <w:rsid w:val="009C7854"/>
    <w:rsid w:val="009D0859"/>
    <w:rsid w:val="009D2B03"/>
    <w:rsid w:val="009D5021"/>
    <w:rsid w:val="009E3AB9"/>
    <w:rsid w:val="009F515A"/>
    <w:rsid w:val="00A02572"/>
    <w:rsid w:val="00A156EC"/>
    <w:rsid w:val="00A17339"/>
    <w:rsid w:val="00A233E8"/>
    <w:rsid w:val="00A309BD"/>
    <w:rsid w:val="00A46781"/>
    <w:rsid w:val="00A50629"/>
    <w:rsid w:val="00A56CB1"/>
    <w:rsid w:val="00A57C02"/>
    <w:rsid w:val="00A6712F"/>
    <w:rsid w:val="00A72838"/>
    <w:rsid w:val="00A752EB"/>
    <w:rsid w:val="00A7642A"/>
    <w:rsid w:val="00A76736"/>
    <w:rsid w:val="00A779F2"/>
    <w:rsid w:val="00A85D89"/>
    <w:rsid w:val="00A869F0"/>
    <w:rsid w:val="00AA06C9"/>
    <w:rsid w:val="00AA5801"/>
    <w:rsid w:val="00AB7800"/>
    <w:rsid w:val="00AE02B0"/>
    <w:rsid w:val="00AE2F93"/>
    <w:rsid w:val="00AE7CD3"/>
    <w:rsid w:val="00AF63D2"/>
    <w:rsid w:val="00B10038"/>
    <w:rsid w:val="00B10C4F"/>
    <w:rsid w:val="00B1772A"/>
    <w:rsid w:val="00B21112"/>
    <w:rsid w:val="00B266D1"/>
    <w:rsid w:val="00B41D9D"/>
    <w:rsid w:val="00B41E76"/>
    <w:rsid w:val="00B54946"/>
    <w:rsid w:val="00B57265"/>
    <w:rsid w:val="00B70610"/>
    <w:rsid w:val="00B71E9A"/>
    <w:rsid w:val="00B725E9"/>
    <w:rsid w:val="00B937F2"/>
    <w:rsid w:val="00B94693"/>
    <w:rsid w:val="00BA085C"/>
    <w:rsid w:val="00BA6BB9"/>
    <w:rsid w:val="00BB0F1B"/>
    <w:rsid w:val="00BB2242"/>
    <w:rsid w:val="00BD01E3"/>
    <w:rsid w:val="00BD041D"/>
    <w:rsid w:val="00BD1FB1"/>
    <w:rsid w:val="00BD5ABC"/>
    <w:rsid w:val="00BF09E9"/>
    <w:rsid w:val="00C032A2"/>
    <w:rsid w:val="00C11CE4"/>
    <w:rsid w:val="00C177B7"/>
    <w:rsid w:val="00C22393"/>
    <w:rsid w:val="00C2486C"/>
    <w:rsid w:val="00C31841"/>
    <w:rsid w:val="00C35DEA"/>
    <w:rsid w:val="00C37E3F"/>
    <w:rsid w:val="00C42B15"/>
    <w:rsid w:val="00C621A7"/>
    <w:rsid w:val="00C74D74"/>
    <w:rsid w:val="00C76503"/>
    <w:rsid w:val="00C818F5"/>
    <w:rsid w:val="00C8599C"/>
    <w:rsid w:val="00C867FB"/>
    <w:rsid w:val="00C8791C"/>
    <w:rsid w:val="00CA2B55"/>
    <w:rsid w:val="00CA4169"/>
    <w:rsid w:val="00CA48B0"/>
    <w:rsid w:val="00CA74C6"/>
    <w:rsid w:val="00CD09D0"/>
    <w:rsid w:val="00CD106B"/>
    <w:rsid w:val="00CD1DB1"/>
    <w:rsid w:val="00CE55DE"/>
    <w:rsid w:val="00CE6992"/>
    <w:rsid w:val="00D058D1"/>
    <w:rsid w:val="00D0741B"/>
    <w:rsid w:val="00D151A9"/>
    <w:rsid w:val="00D32CE2"/>
    <w:rsid w:val="00D337F0"/>
    <w:rsid w:val="00D33E5A"/>
    <w:rsid w:val="00D35BC6"/>
    <w:rsid w:val="00D436F2"/>
    <w:rsid w:val="00D46AE0"/>
    <w:rsid w:val="00D6775C"/>
    <w:rsid w:val="00D7108C"/>
    <w:rsid w:val="00D73BFF"/>
    <w:rsid w:val="00D77983"/>
    <w:rsid w:val="00D837F6"/>
    <w:rsid w:val="00D85741"/>
    <w:rsid w:val="00D95866"/>
    <w:rsid w:val="00D96D7D"/>
    <w:rsid w:val="00DA6F80"/>
    <w:rsid w:val="00DB3457"/>
    <w:rsid w:val="00DC10F2"/>
    <w:rsid w:val="00DD11BC"/>
    <w:rsid w:val="00DD3F0E"/>
    <w:rsid w:val="00DE0F57"/>
    <w:rsid w:val="00E04C37"/>
    <w:rsid w:val="00E0653D"/>
    <w:rsid w:val="00E12DC9"/>
    <w:rsid w:val="00E22050"/>
    <w:rsid w:val="00E257D8"/>
    <w:rsid w:val="00E30AA6"/>
    <w:rsid w:val="00E34873"/>
    <w:rsid w:val="00E544F3"/>
    <w:rsid w:val="00E54A3D"/>
    <w:rsid w:val="00E562AB"/>
    <w:rsid w:val="00E6011F"/>
    <w:rsid w:val="00E81A17"/>
    <w:rsid w:val="00E83C2A"/>
    <w:rsid w:val="00E87E69"/>
    <w:rsid w:val="00E90C13"/>
    <w:rsid w:val="00EA4228"/>
    <w:rsid w:val="00EB1F82"/>
    <w:rsid w:val="00EB4020"/>
    <w:rsid w:val="00EB4552"/>
    <w:rsid w:val="00EC135B"/>
    <w:rsid w:val="00EC6FEA"/>
    <w:rsid w:val="00ED0CA1"/>
    <w:rsid w:val="00EE256A"/>
    <w:rsid w:val="00EF29CF"/>
    <w:rsid w:val="00EF39C0"/>
    <w:rsid w:val="00F01C8B"/>
    <w:rsid w:val="00F13FC5"/>
    <w:rsid w:val="00F20097"/>
    <w:rsid w:val="00F24CD5"/>
    <w:rsid w:val="00F329C9"/>
    <w:rsid w:val="00F35722"/>
    <w:rsid w:val="00F37FE3"/>
    <w:rsid w:val="00F45B23"/>
    <w:rsid w:val="00F63203"/>
    <w:rsid w:val="00F74114"/>
    <w:rsid w:val="00F7470E"/>
    <w:rsid w:val="00F755D4"/>
    <w:rsid w:val="00FA04F5"/>
    <w:rsid w:val="00FA5581"/>
    <w:rsid w:val="00FB0D72"/>
    <w:rsid w:val="00FB167A"/>
    <w:rsid w:val="00FC32CE"/>
    <w:rsid w:val="00FC7D42"/>
    <w:rsid w:val="00FD39B2"/>
    <w:rsid w:val="00FD3E3E"/>
    <w:rsid w:val="00FD68BF"/>
    <w:rsid w:val="00FE370E"/>
    <w:rsid w:val="00FE3CD7"/>
    <w:rsid w:val="00FE79DE"/>
    <w:rsid w:val="00FF13BF"/>
    <w:rsid w:val="07FF1A9C"/>
    <w:rsid w:val="095B8341"/>
    <w:rsid w:val="142E67C5"/>
    <w:rsid w:val="1ABFE392"/>
    <w:rsid w:val="1EF4146E"/>
    <w:rsid w:val="37DEDDF6"/>
    <w:rsid w:val="3AE6991D"/>
    <w:rsid w:val="3AEEB863"/>
    <w:rsid w:val="3E5E5395"/>
    <w:rsid w:val="3F2FCD3C"/>
    <w:rsid w:val="4DF7534F"/>
    <w:rsid w:val="52C938E1"/>
    <w:rsid w:val="57F4A039"/>
    <w:rsid w:val="5DBA5BBB"/>
    <w:rsid w:val="5F0F7CBB"/>
    <w:rsid w:val="5F854B70"/>
    <w:rsid w:val="6BA8C41C"/>
    <w:rsid w:val="6F3ECB53"/>
    <w:rsid w:val="6F3ED43D"/>
    <w:rsid w:val="6FFD3B97"/>
    <w:rsid w:val="7352F7C5"/>
    <w:rsid w:val="74DC74DF"/>
    <w:rsid w:val="75BF3B68"/>
    <w:rsid w:val="76EFB855"/>
    <w:rsid w:val="77665D0E"/>
    <w:rsid w:val="77F68CC4"/>
    <w:rsid w:val="79E5E513"/>
    <w:rsid w:val="7ABD3483"/>
    <w:rsid w:val="7B7560BA"/>
    <w:rsid w:val="7CDF9A4D"/>
    <w:rsid w:val="7D6FBF0D"/>
    <w:rsid w:val="7E0F4110"/>
    <w:rsid w:val="7E9B6C00"/>
    <w:rsid w:val="7EDDD03D"/>
    <w:rsid w:val="7F7B068A"/>
    <w:rsid w:val="7FDF9CBE"/>
    <w:rsid w:val="9DB856E7"/>
    <w:rsid w:val="9E5F566F"/>
    <w:rsid w:val="ABD26AD2"/>
    <w:rsid w:val="B78E9814"/>
    <w:rsid w:val="C37140D0"/>
    <w:rsid w:val="DFD9BC2B"/>
    <w:rsid w:val="E7FF6333"/>
    <w:rsid w:val="F5BECDB8"/>
    <w:rsid w:val="F7BFF0F6"/>
    <w:rsid w:val="F95A21BD"/>
    <w:rsid w:val="FBC7E274"/>
    <w:rsid w:val="FBE749BF"/>
    <w:rsid w:val="FBF9010C"/>
    <w:rsid w:val="FCB837FB"/>
    <w:rsid w:val="FDFF9EBB"/>
    <w:rsid w:val="FF7BE85F"/>
    <w:rsid w:val="FFFFD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8"/>
    <w:qFormat/>
    <w:uiPriority w:val="9"/>
    <w:pPr>
      <w:keepNext/>
      <w:keepLines/>
      <w:snapToGrid w:val="0"/>
      <w:spacing w:before="80" w:after="80"/>
      <w:outlineLvl w:val="0"/>
    </w:pPr>
    <w:rPr>
      <w:rFonts w:eastAsia="宋体" w:asciiTheme="majorHAnsi" w:hAnsiTheme="majorHAnsi" w:cstheme="majorBidi"/>
      <w:color w:val="000000" w:themeColor="text1"/>
      <w:szCs w:val="48"/>
      <w14:textFill>
        <w14:solidFill>
          <w14:schemeClr w14:val="tx1"/>
        </w14:solidFill>
      </w14:textFill>
    </w:rPr>
  </w:style>
  <w:style w:type="paragraph" w:styleId="4">
    <w:name w:val="heading 2"/>
    <w:basedOn w:val="1"/>
    <w:next w:val="1"/>
    <w:link w:val="2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3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33"/>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spacing w:after="120"/>
      <w:ind w:firstLine="420"/>
    </w:pPr>
    <w:rPr>
      <w:rFonts w:ascii="Times New Roman" w:hAnsi="Times New Roman" w:eastAsia="宋体" w:cs="Times New Roman"/>
      <w:szCs w:val="20"/>
    </w:rPr>
  </w:style>
  <w:style w:type="paragraph" w:styleId="12">
    <w:name w:val="annotation text"/>
    <w:basedOn w:val="1"/>
    <w:link w:val="48"/>
    <w:unhideWhenUsed/>
    <w:qFormat/>
    <w:uiPriority w:val="99"/>
    <w:pPr>
      <w:jc w:val="left"/>
    </w:pPr>
  </w:style>
  <w:style w:type="paragraph" w:styleId="13">
    <w:name w:val="footer"/>
    <w:basedOn w:val="1"/>
    <w:link w:val="47"/>
    <w:unhideWhenUsed/>
    <w:qFormat/>
    <w:uiPriority w:val="99"/>
    <w:pPr>
      <w:tabs>
        <w:tab w:val="center" w:pos="4153"/>
        <w:tab w:val="right" w:pos="8306"/>
      </w:tabs>
      <w:snapToGrid w:val="0"/>
      <w:jc w:val="left"/>
    </w:pPr>
    <w:rPr>
      <w:sz w:val="18"/>
      <w:szCs w:val="18"/>
    </w:rPr>
  </w:style>
  <w:style w:type="paragraph" w:styleId="14">
    <w:name w:val="header"/>
    <w:basedOn w:val="1"/>
    <w:link w:val="46"/>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footnote text"/>
    <w:basedOn w:val="1"/>
    <w:semiHidden/>
    <w:unhideWhenUsed/>
    <w:qFormat/>
    <w:uiPriority w:val="99"/>
    <w:pPr>
      <w:snapToGrid w:val="0"/>
      <w:jc w:val="left"/>
    </w:pPr>
    <w:rPr>
      <w:sz w:val="18"/>
    </w:rPr>
  </w:style>
  <w:style w:type="paragraph" w:styleId="17">
    <w:name w:val="Normal (Web)"/>
    <w:basedOn w:val="1"/>
    <w:semiHidden/>
    <w:unhideWhenUsed/>
    <w:qFormat/>
    <w:uiPriority w:val="99"/>
    <w:rPr>
      <w:sz w:val="24"/>
    </w:rPr>
  </w:style>
  <w:style w:type="paragraph" w:styleId="18">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annotation subject"/>
    <w:basedOn w:val="12"/>
    <w:next w:val="12"/>
    <w:link w:val="49"/>
    <w:semiHidden/>
    <w:unhideWhenUsed/>
    <w:qFormat/>
    <w:uiPriority w:val="99"/>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basedOn w:val="22"/>
    <w:unhideWhenUsed/>
    <w:qFormat/>
    <w:uiPriority w:val="99"/>
    <w:rPr>
      <w:color w:val="467886" w:themeColor="hyperlink"/>
      <w:u w:val="single"/>
      <w14:textFill>
        <w14:solidFill>
          <w14:schemeClr w14:val="hlink"/>
        </w14:solidFill>
      </w14:textFill>
    </w:rPr>
  </w:style>
  <w:style w:type="character" w:styleId="26">
    <w:name w:val="annotation reference"/>
    <w:basedOn w:val="22"/>
    <w:semiHidden/>
    <w:unhideWhenUsed/>
    <w:qFormat/>
    <w:uiPriority w:val="99"/>
    <w:rPr>
      <w:sz w:val="21"/>
      <w:szCs w:val="21"/>
    </w:rPr>
  </w:style>
  <w:style w:type="character" w:styleId="27">
    <w:name w:val="footnote reference"/>
    <w:basedOn w:val="22"/>
    <w:semiHidden/>
    <w:unhideWhenUsed/>
    <w:qFormat/>
    <w:uiPriority w:val="99"/>
    <w:rPr>
      <w:vertAlign w:val="superscript"/>
    </w:rPr>
  </w:style>
  <w:style w:type="character" w:customStyle="1" w:styleId="28">
    <w:name w:val="标题 1 字符"/>
    <w:basedOn w:val="22"/>
    <w:link w:val="3"/>
    <w:qFormat/>
    <w:uiPriority w:val="9"/>
    <w:rPr>
      <w:rFonts w:asciiTheme="majorHAnsi" w:hAnsiTheme="majorHAnsi" w:cstheme="majorBidi"/>
      <w:color w:val="000000" w:themeColor="text1"/>
      <w:kern w:val="2"/>
      <w:sz w:val="21"/>
      <w:szCs w:val="48"/>
      <w14:textFill>
        <w14:solidFill>
          <w14:schemeClr w14:val="tx1"/>
        </w14:solidFill>
      </w14:textFill>
    </w:rPr>
  </w:style>
  <w:style w:type="character" w:customStyle="1" w:styleId="29">
    <w:name w:val="标题 2 字符"/>
    <w:basedOn w:val="22"/>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30">
    <w:name w:val="标题 3 字符"/>
    <w:basedOn w:val="22"/>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31">
    <w:name w:val="标题 4 字符"/>
    <w:basedOn w:val="22"/>
    <w:link w:val="6"/>
    <w:semiHidden/>
    <w:qFormat/>
    <w:uiPriority w:val="9"/>
    <w:rPr>
      <w:rFonts w:cstheme="majorBidi"/>
      <w:color w:val="104862" w:themeColor="accent1" w:themeShade="BF"/>
      <w:sz w:val="28"/>
      <w:szCs w:val="28"/>
    </w:rPr>
  </w:style>
  <w:style w:type="character" w:customStyle="1" w:styleId="32">
    <w:name w:val="标题 5 字符"/>
    <w:basedOn w:val="22"/>
    <w:link w:val="7"/>
    <w:semiHidden/>
    <w:qFormat/>
    <w:uiPriority w:val="9"/>
    <w:rPr>
      <w:rFonts w:cstheme="majorBidi"/>
      <w:color w:val="104862" w:themeColor="accent1" w:themeShade="BF"/>
      <w:sz w:val="24"/>
      <w:szCs w:val="24"/>
    </w:rPr>
  </w:style>
  <w:style w:type="character" w:customStyle="1" w:styleId="33">
    <w:name w:val="标题 6 字符"/>
    <w:basedOn w:val="22"/>
    <w:link w:val="8"/>
    <w:semiHidden/>
    <w:qFormat/>
    <w:uiPriority w:val="9"/>
    <w:rPr>
      <w:rFonts w:cstheme="majorBidi"/>
      <w:b/>
      <w:bCs/>
      <w:color w:val="104862" w:themeColor="accent1" w:themeShade="BF"/>
    </w:rPr>
  </w:style>
  <w:style w:type="character" w:customStyle="1" w:styleId="34">
    <w:name w:val="标题 7 字符"/>
    <w:basedOn w:val="22"/>
    <w:link w:val="9"/>
    <w:semiHidden/>
    <w:qFormat/>
    <w:uiPriority w:val="9"/>
    <w:rPr>
      <w:rFonts w:asciiTheme="minorHAnsi" w:hAnsiTheme="minorHAnsi" w:eastAsiaTheme="minorEastAsia" w:cstheme="majorBidi"/>
      <w:b/>
      <w:bCs/>
      <w:color w:val="595959" w:themeColor="text1" w:themeTint="A6"/>
      <w:kern w:val="2"/>
      <w:sz w:val="21"/>
      <w:szCs w:val="22"/>
      <w14:textFill>
        <w14:solidFill>
          <w14:schemeClr w14:val="tx1">
            <w14:lumMod w14:val="65000"/>
            <w14:lumOff w14:val="35000"/>
          </w14:schemeClr>
        </w14:solidFill>
      </w14:textFill>
    </w:rPr>
  </w:style>
  <w:style w:type="character" w:customStyle="1" w:styleId="35">
    <w:name w:val="标题 8 字符"/>
    <w:basedOn w:val="22"/>
    <w:link w:val="10"/>
    <w:semiHidden/>
    <w:qFormat/>
    <w:uiPriority w:val="9"/>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36">
    <w:name w:val="标题 9 字符"/>
    <w:basedOn w:val="22"/>
    <w:link w:val="11"/>
    <w:semiHidden/>
    <w:qFormat/>
    <w:uiPriority w:val="9"/>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rPr>
  </w:style>
  <w:style w:type="character" w:customStyle="1" w:styleId="37">
    <w:name w:val="标题 字符"/>
    <w:basedOn w:val="22"/>
    <w:link w:val="18"/>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2"/>
    <w:link w:val="15"/>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2"/>
    <w:link w:val="39"/>
    <w:qFormat/>
    <w:uiPriority w:val="2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paragraph" w:styleId="41">
    <w:name w:val="List Paragraph"/>
    <w:basedOn w:val="1"/>
    <w:qFormat/>
    <w:uiPriority w:val="34"/>
    <w:pPr>
      <w:ind w:left="720"/>
      <w:contextualSpacing/>
    </w:pPr>
  </w:style>
  <w:style w:type="character" w:customStyle="1" w:styleId="42">
    <w:name w:val="Intense Emphasis1"/>
    <w:basedOn w:val="22"/>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22"/>
    <w:link w:val="43"/>
    <w:qFormat/>
    <w:uiPriority w:val="30"/>
    <w:rPr>
      <w:i/>
      <w:iCs/>
      <w:color w:val="104862" w:themeColor="accent1" w:themeShade="BF"/>
    </w:rPr>
  </w:style>
  <w:style w:type="character" w:customStyle="1" w:styleId="45">
    <w:name w:val="Intense Reference1"/>
    <w:basedOn w:val="22"/>
    <w:qFormat/>
    <w:uiPriority w:val="32"/>
    <w:rPr>
      <w:b/>
      <w:bCs/>
      <w:smallCaps/>
      <w:color w:val="104862" w:themeColor="accent1" w:themeShade="BF"/>
      <w:spacing w:val="5"/>
    </w:rPr>
  </w:style>
  <w:style w:type="character" w:customStyle="1" w:styleId="46">
    <w:name w:val="页眉 字符"/>
    <w:basedOn w:val="22"/>
    <w:link w:val="14"/>
    <w:qFormat/>
    <w:uiPriority w:val="99"/>
    <w:rPr>
      <w:sz w:val="18"/>
      <w:szCs w:val="18"/>
    </w:rPr>
  </w:style>
  <w:style w:type="character" w:customStyle="1" w:styleId="47">
    <w:name w:val="页脚 字符"/>
    <w:basedOn w:val="22"/>
    <w:link w:val="13"/>
    <w:qFormat/>
    <w:uiPriority w:val="99"/>
    <w:rPr>
      <w:sz w:val="18"/>
      <w:szCs w:val="18"/>
    </w:rPr>
  </w:style>
  <w:style w:type="character" w:customStyle="1" w:styleId="48">
    <w:name w:val="批注文字 字符"/>
    <w:basedOn w:val="22"/>
    <w:link w:val="12"/>
    <w:qFormat/>
    <w:uiPriority w:val="99"/>
  </w:style>
  <w:style w:type="character" w:customStyle="1" w:styleId="49">
    <w:name w:val="批注主题 字符"/>
    <w:basedOn w:val="48"/>
    <w:link w:val="19"/>
    <w:semiHidden/>
    <w:qFormat/>
    <w:uiPriority w:val="99"/>
    <w:rPr>
      <w:b/>
      <w:bCs/>
    </w:rPr>
  </w:style>
  <w:style w:type="paragraph" w:customStyle="1" w:styleId="50">
    <w:name w:val="17babae4-54f0-44fa-a444-1068224df0ac"/>
    <w:basedOn w:val="18"/>
    <w:next w:val="51"/>
    <w:link w:val="52"/>
    <w:qFormat/>
    <w:uiPriority w:val="0"/>
    <w:pPr>
      <w:adjustRightInd w:val="0"/>
      <w:spacing w:after="0" w:line="288" w:lineRule="auto"/>
      <w:outlineLvl w:val="0"/>
    </w:pPr>
    <w:rPr>
      <w:rFonts w:ascii="微软雅黑" w:hAnsi="微软雅黑" w:eastAsia="微软雅黑" w:cs="Times New Roman"/>
      <w:b/>
      <w:color w:val="000000"/>
      <w:sz w:val="40"/>
      <w:szCs w:val="24"/>
    </w:rPr>
  </w:style>
  <w:style w:type="paragraph" w:customStyle="1" w:styleId="51">
    <w:name w:val="acbfdd8b-e11b-4d36-88ff-6049b138f862"/>
    <w:basedOn w:val="1"/>
    <w:link w:val="53"/>
    <w:qFormat/>
    <w:uiPriority w:val="0"/>
    <w:pPr>
      <w:adjustRightInd w:val="0"/>
      <w:spacing w:line="288" w:lineRule="auto"/>
      <w:jc w:val="left"/>
    </w:pPr>
    <w:rPr>
      <w:rFonts w:ascii="微软雅黑" w:hAnsi="微软雅黑" w:eastAsia="微软雅黑" w:cs="Times New Roman"/>
      <w:color w:val="000000"/>
      <w:sz w:val="22"/>
      <w:szCs w:val="24"/>
    </w:rPr>
  </w:style>
  <w:style w:type="character" w:customStyle="1" w:styleId="52">
    <w:name w:val="17babae4-54f0-44fa-a444-1068224df0ac 字符"/>
    <w:basedOn w:val="22"/>
    <w:link w:val="50"/>
    <w:qFormat/>
    <w:uiPriority w:val="0"/>
    <w:rPr>
      <w:rFonts w:ascii="微软雅黑" w:hAnsi="微软雅黑" w:eastAsia="微软雅黑" w:cs="Times New Roman"/>
      <w:b/>
      <w:color w:val="000000"/>
      <w:spacing w:val="-10"/>
      <w:kern w:val="28"/>
      <w:sz w:val="40"/>
      <w:szCs w:val="24"/>
    </w:rPr>
  </w:style>
  <w:style w:type="character" w:customStyle="1" w:styleId="53">
    <w:name w:val="acbfdd8b-e11b-4d36-88ff-6049b138f862 字符"/>
    <w:basedOn w:val="22"/>
    <w:link w:val="51"/>
    <w:qFormat/>
    <w:uiPriority w:val="0"/>
    <w:rPr>
      <w:rFonts w:ascii="微软雅黑" w:hAnsi="微软雅黑" w:eastAsia="微软雅黑" w:cs="Times New Roman"/>
      <w:color w:val="000000"/>
      <w:sz w:val="22"/>
      <w:szCs w:val="24"/>
    </w:rPr>
  </w:style>
  <w:style w:type="paragraph" w:customStyle="1" w:styleId="54">
    <w:name w:val="pf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5">
    <w:name w:val="cf01"/>
    <w:basedOn w:val="22"/>
    <w:qFormat/>
    <w:uiPriority w:val="0"/>
    <w:rPr>
      <w:rFonts w:hint="eastAsia" w:ascii="Microsoft YaHei UI" w:hAnsi="Microsoft YaHei UI" w:eastAsia="Microsoft YaHei UI"/>
      <w:sz w:val="18"/>
      <w:szCs w:val="18"/>
    </w:rPr>
  </w:style>
  <w:style w:type="paragraph" w:customStyle="1" w:styleId="5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7">
    <w:name w:val="@他1"/>
    <w:basedOn w:val="22"/>
    <w:unhideWhenUsed/>
    <w:qFormat/>
    <w:uiPriority w:val="99"/>
    <w:rPr>
      <w:color w:val="2B579A"/>
      <w:shd w:val="clear" w:color="auto" w:fill="E1DFDD"/>
    </w:rPr>
  </w:style>
  <w:style w:type="character" w:customStyle="1" w:styleId="58">
    <w:name w:val="未处理的提及1"/>
    <w:basedOn w:val="22"/>
    <w:semiHidden/>
    <w:unhideWhenUsed/>
    <w:qFormat/>
    <w:uiPriority w:val="99"/>
    <w:rPr>
      <w:color w:val="605E5C"/>
      <w:shd w:val="clear" w:color="auto" w:fill="E1DFDD"/>
    </w:rPr>
  </w:style>
  <w:style w:type="character" w:customStyle="1" w:styleId="59">
    <w:name w:val="font21"/>
    <w:basedOn w:val="22"/>
    <w:qFormat/>
    <w:uiPriority w:val="0"/>
    <w:rPr>
      <w:rFonts w:hint="eastAsia" w:ascii="宋体" w:hAnsi="宋体" w:eastAsia="宋体" w:cs="宋体"/>
      <w:color w:val="000000"/>
      <w:sz w:val="20"/>
      <w:szCs w:val="20"/>
      <w:u w:val="none"/>
    </w:rPr>
  </w:style>
  <w:style w:type="character" w:customStyle="1" w:styleId="60">
    <w:name w:val="font41"/>
    <w:basedOn w:val="22"/>
    <w:qFormat/>
    <w:uiPriority w:val="0"/>
    <w:rPr>
      <w:rFonts w:hint="eastAsia" w:ascii="宋体" w:hAnsi="宋体" w:eastAsia="宋体" w:cs="宋体"/>
      <w:color w:val="000000"/>
      <w:sz w:val="20"/>
      <w:szCs w:val="20"/>
      <w:u w:val="none"/>
    </w:rPr>
  </w:style>
  <w:style w:type="paragraph" w:customStyle="1" w:styleId="61">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contentTypeDescription="" contentTypeScope="" _="" contentTypeID="0x010100F4C63C3BD852AE468EAEFD0E6C57C64F02008C015598D0747D4283BB1F9D49ADADC6" versionID="793720ccac36104286da29796a69d008" contentTypeName="WBDocument" contentTypeVersion="21">
  <xsd:schema xmlns:xsd="http://www.w3.org/2001/XMLSchema" _="" root="true" fieldsID="0b45970f5a227ce107450d300e422142" targetNamespace="http://schemas.microsoft.com/office/2006/metadata/properties">
    <xsd:import xmlns:xsd="http://www.w3.org/2001/XMLSchema" namespace="3e02667f-0271-471b-bd6e-11a2e16def1d"/>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minOccurs="0" ref="ns3:WBDocs_Document_Date"/>
                <xsd:element xmlns:xsd="http://www.w3.org/2001/XMLSchema" ref="ns3:WBDocs_Information_Classification"/>
                <xsd:element xmlns:xsd="http://www.w3.org/2001/XMLSchema" minOccurs="0" ref="ns3:TaxCatchAll"/>
                <xsd:element xmlns:xsd="http://www.w3.org/2001/XMLSchema" minOccurs="0" ref="ns3:TaxCatchAllLabel"/>
                <xsd:element xmlns:xsd="http://www.w3.org/2001/XMLSchema" minOccurs="0" ref="ns3:_dlc_DocId"/>
                <xsd:element xmlns:xsd="http://www.w3.org/2001/XMLSchema" minOccurs="0" ref="ns3:_dlc_DocIdUrl"/>
                <xsd:element xmlns:xsd="http://www.w3.org/2001/XMLSchema" minOccurs="0" ref="ns3:_dlc_DocIdPersistId"/>
                <xsd:element xmlns:xsd="http://www.w3.org/2001/XMLSchema" minOccurs="0" ref="ns3:WBDocs_Access_To_Info_Exception"/>
                <xsd:element xmlns:xsd="http://www.w3.org/2001/XMLSchema" minOccurs="0" ref="ns3:o1cb080a3dca4eb8a0fd03c7cc8bf8f7"/>
                <xsd:element xmlns:xsd="http://www.w3.org/2001/XMLSchema" minOccurs="0" ref="ns3:i008215bacac45029ee8cafff4c8e93b"/>
                <xsd:element xmlns:xsd="http://www.w3.org/2001/XMLSchema" minOccurs="0" ref="ns3:OneCMS_Subcategory"/>
                <xsd:element xmlns:xsd="http://www.w3.org/2001/XMLSchema" minOccurs="0" ref="ns3:OneCMS_Category"/>
                <xsd:element xmlns:xsd="http://www.w3.org/2001/XMLSchema" minOccurs="0" ref="ns3:Abstract"/>
              </xsd:all>
            </xsd:complexType>
          </xsd:element>
        </xsd:sequence>
      </xsd:complexType>
    </xsd:element>
  </xsd:schema>
  <xsd:schema xmlns:xsd="http://www.w3.org/2001/XMLSchema" elementFormDefault="qualified" targetNamespace="3e02667f-0271-471b-bd6e-11a2e16def1d">
    <xsd:import xmlns:xsd="http://www.w3.org/2001/XMLSchema" namespace="http://schemas.microsoft.com/office/2006/documentManagement/types"/>
    <xsd:import xmlns:xsd="http://www.w3.org/2001/XMLSchema" namespace="http://schemas.microsoft.com/office/infopath/2007/PartnerControls"/>
    <xsd:element xmlns:xsd="http://www.w3.org/2001/XMLSchema" displayName="Document Date" index="3" name="WBDocs_Document_Date" nillable="true" default="[today]" internalName="WBDocs_Document_Date" readOnly="false" format="DateTime">
      <xsd:simpleType xmlns:xsd="http://www.w3.org/2001/XMLSchema">
        <xsd:restriction xmlns:xsd="http://www.w3.org/2001/XMLSchema" base="dms:DateTime"/>
      </xsd:simpleType>
    </xsd:element>
    <xsd:element xmlns:xsd="http://www.w3.org/2001/XMLSchema" displayName="Information Classification" index="4" name="WBDocs_Information_Classification" default="Official Use Only" internalName="WBDocs_Information_Classification" readOnly="false" format="Dropdown">
      <xsd:simpleType xmlns:xsd="http://www.w3.org/2001/XMLSchema">
        <xsd:restriction xmlns:xsd="http://www.w3.org/2001/XMLSchema" base="dms:Choice">
          <xsd:enumeration xmlns:xsd="http://www.w3.org/2001/XMLSchema" value="Public"/>
          <xsd:enumeration xmlns:xsd="http://www.w3.org/2001/XMLSchema" value="Official Use Only"/>
          <xsd:enumeration xmlns:xsd="http://www.w3.org/2001/XMLSchema" value="Confidential"/>
          <xsd:enumeration xmlns:xsd="http://www.w3.org/2001/XMLSchema" value="Strictly Confidential"/>
        </xsd:restriction>
      </xsd:simpleType>
    </xsd:element>
    <xsd:element xmlns:xsd="http://www.w3.org/2001/XMLSchema" displayName="Taxonomy Catch All Column" index="6" name="TaxCatchAll" hidden="true" nillable="true" web="55412a85-6e69-42a4-8c20-5128caeef093" list="{16aa8994-a05b-49f1-92e2-ade3831271c5}" internalName="TaxCatchAll" showField="CatchAllData">
      <xsd:complexType xmlns:xsd="http://www.w3.org/2001/XMLSchema">
        <xsd:complexContent xmlns:xsd="http://www.w3.org/2001/XMLSchema">
          <xsd:extension xmlns:xsd="http://www.w3.org/2001/XMLSchema" base="dms:MultiChoiceLookup">
            <xsd:sequence xmlns:xsd="http://www.w3.org/2001/XMLSchema">
              <xsd:element xmlns:xsd="http://www.w3.org/2001/XMLSchema" minOccurs="0" name="Value" nillable="true" type="dms:Lookup" maxOccurs="unbounded"/>
            </xsd:sequence>
          </xsd:extension>
        </xsd:complexContent>
      </xsd:complexType>
    </xsd:element>
    <xsd:element xmlns:xsd="http://www.w3.org/2001/XMLSchema" displayName="Taxonomy Catch All Column1" index="7" name="TaxCatchAllLabel" hidden="true" nillable="true" web="55412a85-6e69-42a4-8c20-5128caeef093" list="{16aa8994-a05b-49f1-92e2-ade3831271c5}" internalName="TaxCatchAllLabel" showField="CatchAllDataLabel" readOnly="true">
      <xsd:complexType xmlns:xsd="http://www.w3.org/2001/XMLSchema">
        <xsd:complexContent xmlns:xsd="http://www.w3.org/2001/XMLSchema">
          <xsd:extension xmlns:xsd="http://www.w3.org/2001/XMLSchema" base="dms:MultiChoiceLookup">
            <xsd:sequence xmlns:xsd="http://www.w3.org/2001/XMLSchema">
              <xsd:element xmlns:xsd="http://www.w3.org/2001/XMLSchema" minOccurs="0" name="Value" nillable="true" type="dms:Lookup" maxOccurs="unbounded"/>
            </xsd:sequence>
          </xsd:extension>
        </xsd:complexContent>
      </xsd:complexType>
    </xsd:element>
    <xsd:element xmlns:xsd="http://www.w3.org/2001/XMLSchema" displayName="Document ID Value" index="10" description="The value of the document ID assigned to this item." name="_dlc_DocId" nillable="true" internalName="_dlc_DocId" readOnly="true">
      <xsd:simpleType xmlns:xsd="http://www.w3.org/2001/XMLSchema">
        <xsd:restriction xmlns:xsd="http://www.w3.org/2001/XMLSchema" base="dms:Text"/>
      </xsd:simpleType>
    </xsd:element>
    <xsd:element xmlns:xsd="http://www.w3.org/2001/XMLSchema" displayName="Document ID" index="11" description="Permanent link to this document." name="_dlc_DocIdUrl" hidden="true" nillable="true" internalName="_dlc_DocIdUrl" readOnly="true">
      <xsd:complexType xmlns:xsd="http://www.w3.org/2001/XMLSchema">
        <xsd:complexContent xmlns:xsd="http://www.w3.org/2001/XMLSchema">
          <xsd:extension xmlns:xsd="http://www.w3.org/2001/XMLSchema" base="dms:URL">
            <xsd:sequence xmlns:xsd="http://www.w3.org/2001/XMLSchema">
              <xsd:element xmlns:xsd="http://www.w3.org/2001/XMLSchema" minOccurs="0" name="Url" nillable="true" type="dms:ValidUrl"/>
              <xsd:element xmlns:xsd="http://www.w3.org/2001/XMLSchema" name="Description" nillable="true" type="xsd:string"/>
            </xsd:sequence>
          </xsd:extension>
        </xsd:complexContent>
      </xsd:complexType>
    </xsd:element>
    <xsd:element xmlns:xsd="http://www.w3.org/2001/XMLSchema" displayName="Persist ID" index="12" description="Keep ID on add." name="_dlc_DocIdPersistId" hidden="true" nillable="true" internalName="_dlc_DocIdPersistId" readOnly="true">
      <xsd:simpleType xmlns:xsd="http://www.w3.org/2001/XMLSchema">
        <xsd:restriction xmlns:xsd="http://www.w3.org/2001/XMLSchema" base="dms:Boolean"/>
      </xsd:simpleType>
    </xsd:element>
    <xsd:element xmlns:xsd="http://www.w3.org/2001/XMLSchema" displayName="Access to Info Exception" index="13" name="WBDocs_Access_To_Info_Exception" nillable="true" default="12. Not Assessed" internalName="WBDocs_Access_To_Info_Exception" format="Dropdown">
      <xsd:simpleType xmlns:xsd="http://www.w3.org/2001/XMLSchema">
        <xsd:restriction xmlns:xsd="http://www.w3.org/2001/XMLSchema" base="dms:Choice">
          <xsd:enumeration xmlns:xsd="http://www.w3.org/2001/XMLSchema" value="1. Personal"/>
          <xsd:enumeration xmlns:xsd="http://www.w3.org/2001/XMLSchema" value="2. Executive Director's Communications"/>
          <xsd:enumeration xmlns:xsd="http://www.w3.org/2001/XMLSchema" value="3. Board Ethics Committee"/>
          <xsd:enumeration xmlns:xsd="http://www.w3.org/2001/XMLSchema" value="4. Attorney-Client Privilege"/>
          <xsd:enumeration xmlns:xsd="http://www.w3.org/2001/XMLSchema" value="5. Security &amp; Safety"/>
          <xsd:enumeration xmlns:xsd="http://www.w3.org/2001/XMLSchema" value="6. Other Disclosure Regimes"/>
          <xsd:enumeration xmlns:xsd="http://www.w3.org/2001/XMLSchema" value="7. Client / Third Party Confidence"/>
          <xsd:enumeration xmlns:xsd="http://www.w3.org/2001/XMLSchema" value="8. Corporate/Administrative"/>
          <xsd:enumeration xmlns:xsd="http://www.w3.org/2001/XMLSchema" value="9. Deliberative"/>
          <xsd:enumeration xmlns:xsd="http://www.w3.org/2001/XMLSchema" value="10a-c. Financial - Forecast/Analysis/Transactions"/>
          <xsd:enumeration xmlns:xsd="http://www.w3.org/2001/XMLSchema" value="10d. Financial - Banking &amp; Billing"/>
          <xsd:enumeration xmlns:xsd="http://www.w3.org/2001/XMLSchema" value="11. Bank's Prerogative to Restrict"/>
          <xsd:enumeration xmlns:xsd="http://www.w3.org/2001/XMLSchema" value="12. Not Assessed"/>
          <xsd:enumeration xmlns:xsd="http://www.w3.org/2001/XMLSchema" value="13. Not Applicable"/>
          <xsd:enumeration xmlns:xsd="http://www.w3.org/2001/XMLSchema" value="Unknown Policy Restriction"/>
        </xsd:restriction>
      </xsd:simpleType>
    </xsd:element>
    <xsd:element xmlns:xsd="http://www.w3.org/2001/XMLSchema" displayName="Local Document Type" index="15" termSetId="ec380048-e675-43f7-9194-41567bcb0af6" taxonomy="true" fieldId="{81cb080a-3dca-4eb8-a0fd-03c7cc8bf8f7}" name="o1cb080a3dca4eb8a0fd03c7cc8bf8f7" nillable="true" default="" open="false" internalName="o1cb080a3dca4eb8a0fd03c7cc8bf8f7" taxonomyMulti="true" anchorId="00000000-0000-0000-0000-000000000000" isKeyword="false" readOnly="false" sspId="2a6c10d7-b926-4fc0-945e-3cbf5049f6bd" taxonomyFieldName="WBDocs_Local_Document_Type">
      <xsd:complexType xmlns:xsd="http://www.w3.org/2001/XMLSchema">
        <xsd:sequence xmlns:xsd="http://www.w3.org/2001/XMLSchema">
          <xsd:element xmlns:xsd="http://www.w3.org/2001/XMLSchema" minOccurs="0" ref="pc:Terms" maxOccurs="1"/>
        </xsd:sequence>
      </xsd:complexType>
    </xsd:element>
    <xsd:element xmlns:xsd="http://www.w3.org/2001/XMLSchema" displayName="Originating unit" index="17" termSetId="806c0147-d557-463e-8bb0-983f4f318bd5" taxonomy="true" fieldId="{2008215b-acac-4502-9ee8-cafff4c8e93b}" name="i008215bacac45029ee8cafff4c8e93b" nillable="true" default="5;#EACCF - WB Off: Beijing|2435c311-dfa9-4ae1-8e70-c51f57abf81a" open="false" internalName="i008215bacac45029ee8cafff4c8e93b" taxonomyMulti="true" anchorId="00000000-0000-0000-0000-000000000000" isKeyword="false" readOnly="false" sspId="2a6c10d7-b926-4fc0-945e-3cbf5049f6bd" taxonomyFieldName="WBDocs_Originating_Unit">
      <xsd:complexType xmlns:xsd="http://www.w3.org/2001/XMLSchema">
        <xsd:sequence xmlns:xsd="http://www.w3.org/2001/XMLSchema">
          <xsd:element xmlns:xsd="http://www.w3.org/2001/XMLSchema" minOccurs="0" ref="pc:Terms" maxOccurs="1"/>
        </xsd:sequence>
      </xsd:complexType>
    </xsd:element>
    <xsd:element xmlns:xsd="http://www.w3.org/2001/XMLSchema" displayName="Subcategory" index="21" name="OneCMS_Subcategory" hidden="true" nillable="true" internalName="OneCMS_Subcategory" readOnly="false">
      <xsd:simpleType xmlns:xsd="http://www.w3.org/2001/XMLSchema">
        <xsd:restriction xmlns:xsd="http://www.w3.org/2001/XMLSchema" base="dms:Text"/>
      </xsd:simpleType>
    </xsd:element>
    <xsd:element xmlns:xsd="http://www.w3.org/2001/XMLSchema" displayName="Category" index="22" name="OneCMS_Category" hidden="true" nillable="true" internalName="OneCMS_Category" readOnly="false">
      <xsd:simpleType xmlns:xsd="http://www.w3.org/2001/XMLSchema">
        <xsd:restriction xmlns:xsd="http://www.w3.org/2001/XMLSchema" base="dms:Text"/>
      </xsd:simpleType>
    </xsd:element>
    <xsd:element xmlns:xsd="http://www.w3.org/2001/XMLSchema" displayName="Abstract" index="23" name="Abstract" hidden="true" nillable="true" internalName="Abstract" readOnly="false">
      <xsd:simpleType xmlns:xsd="http://www.w3.org/2001/XMLSchema">
        <xsd:restriction xmlns:xsd="http://www.w3.org/2001/XMLSchema" base="dms:Note"/>
      </xsd:simpleType>
    </xsd:element>
  </xsd:schema>
  <xsd:schema xmlns:xsd="http://www.w3.org/2001/XMLSchema" attributeFormDefault="unqualified" elementFormDefault="qualified" blockDefault="#all" targetNamespace="http://schemas.openxmlformats.org/package/2006/metadata/core-properties">
    <xsd:import xmlns:xsd="http://www.w3.org/2001/XMLSchema" schemaLocation="http://dublincore.org/schemas/xmls/qdc/2003/04/02/dc.xsd" namespace="http://purl.org/dc/elements/1.1/"/>
    <xsd:import xmlns:xsd="http://www.w3.org/2001/XMLSchema" schemaLocation="http://dublincore.org/schemas/xmls/qdc/2003/04/02/dcterms.xsd" namespace="http://purl.org/dc/terms/"/>
    <xsd:element xmlns:xsd="http://www.w3.org/2001/XMLSchema" name="coreProperties" type="CT_coreProperties"/>
    <xsd:complexType xmlns:xsd="http://www.w3.org/2001/XMLSchema" name="CT_coreProperties">
      <xsd:all xmlns:xsd="http://www.w3.org/2001/XMLSchema">
        <xsd:element xmlns:xsd="http://www.w3.org/2001/XMLSchema" displayName="Author" index="2" minOccurs="0" ref="dc:creator" maxOccurs="1"/>
        <xsd:element xmlns:xsd="http://www.w3.org/2001/XMLSchema" minOccurs="0" ref="dcterms:created" maxOccurs="1"/>
        <xsd:element xmlns:xsd="http://www.w3.org/2001/XMLSchema" minOccurs="0" ref="dc:identifier" maxOccurs="1"/>
        <xsd:element xmlns:xsd="http://www.w3.org/2001/XMLSchema" displayName="Content Type" index="19" minOccurs="0" name="contentType" type="xsd:string" maxOccurs="1"/>
        <xsd:element xmlns:xsd="http://www.w3.org/2001/XMLSchema" displayName="Title" index="1" minOccurs="0" ref="dc:title" maxOccurs="1"/>
        <xsd:element xmlns:xsd="http://www.w3.org/2001/XMLSchema" minOccurs="0" ref="dc:subject" maxOccurs="1"/>
        <xsd:element xmlns:xsd="http://www.w3.org/2001/XMLSchema" minOccurs="0" ref="dc:description" maxOccurs="1"/>
        <xsd:element xmlns:xsd="http://www.w3.org/2001/XMLSchema" minOccurs="0" name="keywords" type="xsd:string" maxOccurs="1"/>
        <xsd:element xmlns:xsd="http://www.w3.org/2001/XMLSchema" minOccurs="0" ref="dc:language" maxOccurs="1"/>
        <xsd:element xmlns:xsd="http://www.w3.org/2001/XMLSchema" minOccurs="0" name="category" type="xsd:string" maxOccurs="1"/>
        <xsd:element xmlns:xsd="http://www.w3.org/2001/XMLSchema" minOccurs="0" name="version" type="xsd:string" maxOccurs="1"/>
        <xsd:element xmlns:xsd="http://www.w3.org/2001/XMLSchema" minOccurs="0" name="revision" type="xsd:string" maxOccurs="1">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minOccurs="0" name="lastModifiedBy" type="xsd:string" maxOccurs="1"/>
        <xsd:element xmlns:xsd="http://www.w3.org/2001/XMLSchema" minOccurs="0" ref="dcterms:modified" maxOccurs="1"/>
        <xsd:element xmlns:xsd="http://www.w3.org/2001/XMLSchema" minOccurs="0" name="contentStatus" type="xsd:string" maxOccurs="1"/>
      </xsd:all>
    </xsd:complexType>
  </xsd:schema>
  <xs:schema xmlns:xs="http://www.w3.org/2001/XMLSchema" attributeFormDefault="unqualified" elementFormDefault="qualified" targetNamespace="http://schemas.microsoft.com/office/infopath/2007/PartnerControls">
    <xs:element xmlns:xs="http://www.w3.org/2001/XMLSchema" name="Person">
      <xs:complexType xmlns:xs="http://www.w3.org/2001/XMLSchema">
        <xs:sequence xmlns:xs="http://www.w3.org/2001/XMLSchema">
          <xs:element xmlns:xs="http://www.w3.org/2001/XMLSchema" minOccurs="0" ref="pc:DisplayName"/>
          <xs:element xmlns:xs="http://www.w3.org/2001/XMLSchema" minOccurs="0" ref="pc:AccountId"/>
          <xs:element xmlns:xs="http://www.w3.org/2001/XMLSchema" minOccurs="0" ref="pc:AccountType"/>
        </xs:sequence>
      </xs:complexType>
    </xs:element>
    <xs:element xmlns:xs="http://www.w3.org/2001/XMLSchema" name="DisplayName" type="xs:string"/>
    <xs:element xmlns:xs="http://www.w3.org/2001/XMLSchema" name="AccountId" type="xs:string"/>
    <xs:element xmlns:xs="http://www.w3.org/2001/XMLSchema" name="AccountType" type="xs:string"/>
    <xs:element xmlns:xs="http://www.w3.org/2001/XMLSchema" name="BDCAssociatedEntity">
      <xs:complexType xmlns:xs="http://www.w3.org/2001/XMLSchema">
        <xs:sequence xmlns:xs="http://www.w3.org/2001/XMLSchema">
          <xs:element xmlns:xs="http://www.w3.org/2001/XMLSchema" minOccurs="0" ref="pc:BDCEntity" maxOccurs="unbounded"/>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name="EntityNamespace" type="xs:string"/>
    <xs:attribute xmlns:xs="http://www.w3.org/2001/XMLSchema" name="EntityName" type="xs:string"/>
    <xs:attribute xmlns:xs="http://www.w3.org/2001/XMLSchema" name="SystemInstanceName" type="xs:string"/>
    <xs:attribute xmlns:xs="http://www.w3.org/2001/XMLSchema" name="AssociationName" type="xs:string"/>
    <xs:element xmlns:xs="http://www.w3.org/2001/XMLSchema" name="BDCEntity">
      <xs:complexType xmlns:xs="http://www.w3.org/2001/XMLSchema">
        <xs:sequence xmlns:xs="http://www.w3.org/2001/XMLSchema">
          <xs:element xmlns:xs="http://www.w3.org/2001/XMLSchema" minOccurs="0" ref="pc:EntityDisplayName"/>
          <xs:element xmlns:xs="http://www.w3.org/2001/XMLSchema" minOccurs="0" ref="pc:EntityInstanceReference"/>
          <xs:element xmlns:xs="http://www.w3.org/2001/XMLSchema" minOccurs="0" ref="pc:EntityId1"/>
          <xs:element xmlns:xs="http://www.w3.org/2001/XMLSchema" minOccurs="0" ref="pc:EntityId2"/>
          <xs:element xmlns:xs="http://www.w3.org/2001/XMLSchema" minOccurs="0" ref="pc:EntityId3"/>
          <xs:element xmlns:xs="http://www.w3.org/2001/XMLSchema" minOccurs="0" ref="pc:EntityId4"/>
          <xs:element xmlns:xs="http://www.w3.org/2001/XMLSchema" minOccurs="0" ref="pc:EntityId5"/>
        </xs:sequence>
      </xs:complexType>
    </xs:element>
    <xs:element xmlns:xs="http://www.w3.org/2001/XMLSchema" name="EntityDisplayName" type="xs:string"/>
    <xs:element xmlns:xs="http://www.w3.org/2001/XMLSchema" name="EntityInstanceReference" type="xs:string"/>
    <xs:element xmlns:xs="http://www.w3.org/2001/XMLSchema" name="EntityId1" type="xs:string"/>
    <xs:element xmlns:xs="http://www.w3.org/2001/XMLSchema" name="EntityId2" type="xs:string"/>
    <xs:element xmlns:xs="http://www.w3.org/2001/XMLSchema" name="EntityId3" type="xs:string"/>
    <xs:element xmlns:xs="http://www.w3.org/2001/XMLSchema" name="EntityId4" type="xs:string"/>
    <xs:element xmlns:xs="http://www.w3.org/2001/XMLSchema" name="EntityId5" type="xs:string"/>
    <xs:element xmlns:xs="http://www.w3.org/2001/XMLSchema" name="Terms">
      <xs:complexType xmlns:xs="http://www.w3.org/2001/XMLSchema">
        <xs:sequence xmlns:xs="http://www.w3.org/2001/XMLSchema">
          <xs:element xmlns:xs="http://www.w3.org/2001/XMLSchema" minOccurs="0" ref="pc:TermInfo" maxOccurs="unbounded"/>
        </xs:sequence>
      </xs:complexType>
    </xs:element>
    <xs:element xmlns:xs="http://www.w3.org/2001/XMLSchema" name="TermInfo">
      <xs:complexType xmlns:xs="http://www.w3.org/2001/XMLSchema">
        <xs:sequence xmlns:xs="http://www.w3.org/2001/XMLSchema">
          <xs:element xmlns:xs="http://www.w3.org/2001/XMLSchema" minOccurs="0" ref="pc:TermName"/>
          <xs:element xmlns:xs="http://www.w3.org/2001/XMLSchema" minOccurs="0" ref="pc:TermId"/>
        </xs:sequence>
      </xs:complexType>
    </xs:element>
    <xs:element xmlns:xs="http://www.w3.org/2001/XMLSchema" name="TermName" type="xs:string"/>
    <xs:element xmlns:xs="http://www.w3.org/2001/XMLSchema"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mlns:xsi="http://www.w3.org/2001/XMLSchema-instance" xsi:nil="true"/>
    <WBDocs_Access_To_Info_Exception xmlns="3e02667f-0271-471b-bd6e-11a2e16def1d">12. Not Assessed</WBDocs_Access_To_Info_Exception>
    <WBDocs_Document_Date xmlns="3e02667f-0271-471b-bd6e-11a2e16def1d">2026-05-06T04:09:58+00:00</WBDocs_Document_Date>
    <TaxCatchAll xmlns="3e02667f-0271-471b-bd6e-11a2e16def1d">
      <Value xmlns="3e02667f-0271-471b-bd6e-11a2e16def1d">5</Value>
    </TaxCatchAll>
    <OneCMS_Subcategory xmlns="3e02667f-0271-471b-bd6e-11a2e16def1d" xmlns:xsi="http://www.w3.org/2001/XMLSchema-instance" xsi:nil="true"/>
    <i008215bacac45029ee8cafff4c8e93b xmlns="3e02667f-0271-471b-bd6e-11a2e16def1d">
      <Terms xmlns="http://schemas.microsoft.com/office/infopath/2007/PartnerControls">
        <TermInfo xmlns="http://schemas.microsoft.com/office/infopath/2007/PartnerControls">
          <TermName xmlns="http://schemas.microsoft.com/office/infopath/2007/PartnerControls">EACCF - WB Off: Beijing</TermName>
          <TermId xmlns="http://schemas.microsoft.com/office/infopath/2007/PartnerControls">2435c311-dfa9-4ae1-8e70-c51f57abf81a</TermId>
        </TermInfo>
      </Terms>
    </i008215bacac45029ee8cafff4c8e93b>
    <WBDocs_Information_Classification xmlns="3e02667f-0271-471b-bd6e-11a2e16def1d">Official Use Only</WBDocs_Information_Classification>
    <OneCMS_Category xmlns="3e02667f-0271-471b-bd6e-11a2e16def1d" xmlns:xsi="http://www.w3.org/2001/XMLSchema-instance" xsi:nil="true"/>
  </documentManagement>
</p:properties>
</file>

<file path=customXml/item5.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6.xml><?xml version="1.0" encoding="utf-8"?>
<?mso-contentType ?>
<SharedContentType xmlns="Microsoft.SharePoint.Taxonomy.ContentTypeSync" PreviousValue="false" ContentTypeId="0x010100F4C63C3BD852AE468EAEFD0E6C57C64F02" SourceId="2a6c10d7-b926-4fc0-945e-3cbf5049f6bd"/>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A851C2-338F-4187-A8B3-05269A63C9FA}">
  <ds:schemaRefs/>
</ds:datastoreItem>
</file>

<file path=customXml/itemProps3.xml><?xml version="1.0" encoding="utf-8"?>
<ds:datastoreItem xmlns:ds="http://schemas.openxmlformats.org/officeDocument/2006/customXml" ds:itemID="{D30FD7B3-75C3-4EE8-A9E6-D1C361A56D64}">
  <ds:schemaRefs/>
</ds:datastoreItem>
</file>

<file path=customXml/itemProps4.xml><?xml version="1.0" encoding="utf-8"?>
<ds:datastoreItem xmlns:ds="http://schemas.openxmlformats.org/officeDocument/2006/customXml" ds:itemID="{5C7193AE-EE33-4C03-BD0D-7A2A1139B6F6}">
  <ds:schemaRefs/>
</ds:datastoreItem>
</file>

<file path=customXml/itemProps5.xml><?xml version="1.0" encoding="utf-8"?>
<ds:datastoreItem xmlns:ds="http://schemas.openxmlformats.org/officeDocument/2006/customXml" ds:itemID="{F335297A-5CFA-44ED-8CF3-8B0166A7A42B}">
  <ds:schemaRefs/>
</ds:datastoreItem>
</file>

<file path=customXml/itemProps6.xml><?xml version="1.0" encoding="utf-8"?>
<ds:datastoreItem xmlns:ds="http://schemas.openxmlformats.org/officeDocument/2006/customXml" ds:itemID="{30752DD8-22CA-4732-9E0A-35FAA9E0CA7D}">
  <ds:schemaRefs/>
</ds:datastoreItem>
</file>

<file path=docProps/app.xml><?xml version="1.0" encoding="utf-8"?>
<Properties xmlns="http://schemas.openxmlformats.org/officeDocument/2006/extended-properties" xmlns:vt="http://schemas.openxmlformats.org/officeDocument/2006/docPropsVTypes">
  <Template>Normal.dotm</Template>
  <Company>WBG</Company>
  <Pages>14</Pages>
  <Words>6932</Words>
  <Characters>7202</Characters>
  <Lines>61</Lines>
  <Paragraphs>17</Paragraphs>
  <TotalTime>4</TotalTime>
  <ScaleCrop>false</ScaleCrop>
  <LinksUpToDate>false</LinksUpToDate>
  <CharactersWithSpaces>7224</CharactersWithSpaces>
  <Application>WPS Office_12.1.3.27451_F1E327BC-269C-435d-A152-05C5408002CA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2025-12-01T14:07:00Z</dcterms:created>
  <dc:creator>Chenfei QU</dc:creator>
  <cp:lastModifiedBy>用户_1234</cp:lastModifiedBy>
  <dcterms:modified xsi:type="dcterms:W3CDTF">2026-07-20T10:19:36Z</dcterms:modified>
  <cp:revision>387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eyJoZGlkIjoiMjIyMWMzOGE3YjUzODgxZmVkMTc5NzMzZDFlZDMyOGYiLCJ1c2VySWQiOiIyMzAzMjg4NTkifQ==</vt:lpwstr>
  </property>
  <property fmtid="{D5CDD505-2E9C-101B-9397-08002B2CF9AE}" pid="3" name="KSOProductBuildVer">
    <vt:lpwstr>2052-12.1.3.27451</vt:lpwstr>
  </property>
  <property fmtid="{D5CDD505-2E9C-101B-9397-08002B2CF9AE}" pid="4" name="ICV">
    <vt:lpwstr>FD6ADC1EF87650FDFCCE286AC0368053_43</vt:lpwstr>
  </property>
  <property fmtid="{D5CDD505-2E9C-101B-9397-08002B2CF9AE}" pid="5" name="ContentTypeId">
    <vt:lpwstr>0x010100F4C63C3BD852AE468EAEFD0E6C57C64F02008C015598D0747D4283BB1F9D49ADADC6</vt:lpwstr>
  </property>
  <property fmtid="{D5CDD505-2E9C-101B-9397-08002B2CF9AE}" pid="6" name="WBDocs_Local_Document_Type">
    <vt:lpwstr/>
  </property>
  <property fmtid="{D5CDD505-2E9C-101B-9397-08002B2CF9AE}" pid="7" name="MediaServiceImageTags">
    <vt:lpwstr/>
  </property>
  <property fmtid="{D5CDD505-2E9C-101B-9397-08002B2CF9AE}" pid="8" name="docLangLocale">
    <vt:lpwstr>zh-hans</vt:lpwstr>
  </property>
  <property fmtid="{D5CDD505-2E9C-101B-9397-08002B2CF9AE}" pid="9" name="docLang">
    <vt:lpwstr>zh</vt:lpwstr>
  </property>
  <property fmtid="{D5CDD505-2E9C-101B-9397-08002B2CF9AE}" pid="10" name="lcf76f155ced4ddcb4097134ff3c332f">
    <vt:lpwstr/>
  </property>
  <property fmtid="{D5CDD505-2E9C-101B-9397-08002B2CF9AE}" pid="11" name="WBDocs_Originating_Unit">
    <vt:lpwstr>5;#EACCF - WB Off: Beijing|2435c311-dfa9-4ae1-8e70-c51f57abf81a</vt:lpwstr>
  </property>
  <property fmtid="{D5CDD505-2E9C-101B-9397-08002B2CF9AE}" pid="12" name="ClassificationContentMarkingFooterShapeIds">
    <vt:lpwstr>71a6036c,7e62f065,5799bcf1</vt:lpwstr>
  </property>
  <property fmtid="{D5CDD505-2E9C-101B-9397-08002B2CF9AE}" pid="13" name="ClassificationContentMarkingFooterFontProps">
    <vt:lpwstr>#000000,10,Aptos</vt:lpwstr>
  </property>
  <property fmtid="{D5CDD505-2E9C-101B-9397-08002B2CF9AE}" pid="14" name="ClassificationContentMarkingFooterText">
    <vt:lpwstr>Official Use Only</vt:lpwstr>
  </property>
  <property fmtid="{D5CDD505-2E9C-101B-9397-08002B2CF9AE}" pid="15" name="MSIP_Label_f1bf45b6-5649-4236-82a3-f45024cd282e_Enabled">
    <vt:lpwstr>true</vt:lpwstr>
  </property>
  <property fmtid="{D5CDD505-2E9C-101B-9397-08002B2CF9AE}" pid="16" name="MSIP_Label_f1bf45b6-5649-4236-82a3-f45024cd282e_SetDate">
    <vt:lpwstr>2026-05-07T12:27:16Z</vt:lpwstr>
  </property>
  <property fmtid="{D5CDD505-2E9C-101B-9397-08002B2CF9AE}" pid="17" name="MSIP_Label_f1bf45b6-5649-4236-82a3-f45024cd282e_Method">
    <vt:lpwstr>Standard</vt:lpwstr>
  </property>
  <property fmtid="{D5CDD505-2E9C-101B-9397-08002B2CF9AE}" pid="18" name="MSIP_Label_f1bf45b6-5649-4236-82a3-f45024cd282e_Name">
    <vt:lpwstr>Official Use Only</vt:lpwstr>
  </property>
  <property fmtid="{D5CDD505-2E9C-101B-9397-08002B2CF9AE}" pid="19" name="MSIP_Label_f1bf45b6-5649-4236-82a3-f45024cd282e_SiteId">
    <vt:lpwstr>31a2fec0-266b-4c67-b56e-2796d8f59c36</vt:lpwstr>
  </property>
  <property fmtid="{D5CDD505-2E9C-101B-9397-08002B2CF9AE}" pid="20" name="MSIP_Label_f1bf45b6-5649-4236-82a3-f45024cd282e_ActionId">
    <vt:lpwstr>1d271185-4b08-4114-9ff4-961944d6910c</vt:lpwstr>
  </property>
  <property fmtid="{D5CDD505-2E9C-101B-9397-08002B2CF9AE}" pid="21" name="MSIP_Label_f1bf45b6-5649-4236-82a3-f45024cd282e_ContentBits">
    <vt:lpwstr>2</vt:lpwstr>
  </property>
  <property fmtid="{D5CDD505-2E9C-101B-9397-08002B2CF9AE}" pid="22" name="MSIP_Label_f1bf45b6-5649-4236-82a3-f45024cd282e_Tag">
    <vt:lpwstr>10, 3, 0, 1</vt:lpwstr>
  </property>
</Properties>
</file>