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BC09">
      <w:pPr>
        <w:widowControl/>
        <w:jc w:val="center"/>
        <w:outlineLvl w:val="0"/>
        <w:rPr>
          <w:rFonts w:cs="Times New Roman" w:asciiTheme="minorEastAsia" w:hAnsiTheme="minorEastAsia"/>
          <w:b/>
          <w:bCs w:val="0"/>
          <w:sz w:val="30"/>
          <w:szCs w:val="30"/>
        </w:rPr>
      </w:pPr>
      <w:r>
        <w:rPr>
          <w:rFonts w:hint="eastAsia" w:cs="Times New Roman" w:asciiTheme="minorEastAsia" w:hAnsiTheme="minorEastAsia"/>
          <w:b/>
          <w:bCs w:val="0"/>
          <w:sz w:val="30"/>
          <w:szCs w:val="30"/>
        </w:rPr>
        <w:t>世界银行中国市场伙伴实施基金赠款项目（</w:t>
      </w:r>
      <w:r>
        <w:rPr>
          <w:rFonts w:cs="Times New Roman" w:asciiTheme="minorEastAsia" w:hAnsiTheme="minorEastAsia"/>
          <w:b/>
          <w:bCs w:val="0"/>
          <w:sz w:val="30"/>
          <w:szCs w:val="30"/>
        </w:rPr>
        <w:t>P504267</w:t>
      </w:r>
      <w:r>
        <w:rPr>
          <w:rFonts w:hint="eastAsia" w:cs="Times New Roman" w:asciiTheme="minorEastAsia" w:hAnsiTheme="minorEastAsia"/>
          <w:b/>
          <w:bCs w:val="0"/>
          <w:sz w:val="30"/>
          <w:szCs w:val="30"/>
        </w:rPr>
        <w:t>）</w:t>
      </w:r>
    </w:p>
    <w:p w14:paraId="530CBC0A">
      <w:pPr>
        <w:widowControl/>
        <w:jc w:val="center"/>
        <w:outlineLvl w:val="0"/>
        <w:rPr>
          <w:rFonts w:cs="Times New Roman" w:asciiTheme="minorEastAsia" w:hAnsiTheme="minorEastAsia"/>
          <w:b/>
          <w:bCs w:val="0"/>
          <w:sz w:val="30"/>
          <w:szCs w:val="30"/>
        </w:rPr>
      </w:pPr>
      <w:r>
        <w:rPr>
          <w:rFonts w:cs="Times New Roman" w:asciiTheme="minorEastAsia" w:hAnsiTheme="minorEastAsia"/>
          <w:b/>
          <w:bCs w:val="0"/>
          <w:sz w:val="30"/>
          <w:szCs w:val="30"/>
        </w:rPr>
        <w:t>“</w:t>
      </w:r>
      <w:bookmarkStart w:id="0" w:name="_Hlk224552918"/>
      <w:r>
        <w:rPr>
          <w:rFonts w:hint="eastAsia" w:cs="Times New Roman" w:asciiTheme="minorEastAsia" w:hAnsiTheme="minorEastAsia"/>
          <w:b/>
          <w:bCs w:val="0"/>
          <w:sz w:val="30"/>
          <w:szCs w:val="30"/>
        </w:rPr>
        <w:t>碳排放总量减排政策背景和政策组合下碳定价机制的定位和实施路径研究</w:t>
      </w:r>
      <w:bookmarkEnd w:id="0"/>
      <w:r>
        <w:rPr>
          <w:rFonts w:cs="Times New Roman" w:asciiTheme="minorEastAsia" w:hAnsiTheme="minorEastAsia"/>
          <w:b/>
          <w:bCs w:val="0"/>
          <w:sz w:val="30"/>
          <w:szCs w:val="30"/>
        </w:rPr>
        <w:t>”</w:t>
      </w:r>
      <w:r>
        <w:rPr>
          <w:rFonts w:hint="eastAsia" w:cs="Times New Roman" w:asciiTheme="minorEastAsia" w:hAnsiTheme="minorEastAsia"/>
          <w:b/>
          <w:bCs w:val="0"/>
          <w:sz w:val="30"/>
          <w:szCs w:val="30"/>
        </w:rPr>
        <w:t>咨询服务</w:t>
      </w:r>
    </w:p>
    <w:p w14:paraId="530CBC0B">
      <w:pPr>
        <w:widowControl/>
        <w:jc w:val="center"/>
        <w:outlineLvl w:val="0"/>
        <w:rPr>
          <w:rFonts w:cs="Times New Roman" w:asciiTheme="minorEastAsia" w:hAnsiTheme="minorEastAsia"/>
          <w:b/>
          <w:bCs w:val="0"/>
          <w:sz w:val="30"/>
          <w:szCs w:val="30"/>
        </w:rPr>
      </w:pPr>
      <w:r>
        <w:rPr>
          <w:rFonts w:hint="eastAsia" w:cs="Times New Roman" w:asciiTheme="minorEastAsia" w:hAnsiTheme="minorEastAsia"/>
          <w:b/>
          <w:bCs w:val="0"/>
          <w:sz w:val="30"/>
          <w:szCs w:val="30"/>
        </w:rPr>
        <w:t>工作任务大纲（</w:t>
      </w:r>
      <w:r>
        <w:rPr>
          <w:rFonts w:cs="Times New Roman" w:asciiTheme="minorEastAsia" w:hAnsiTheme="minorEastAsia"/>
          <w:b/>
          <w:bCs w:val="0"/>
          <w:sz w:val="30"/>
          <w:szCs w:val="30"/>
        </w:rPr>
        <w:t>PMI-1-CQS</w:t>
      </w:r>
      <w:r>
        <w:rPr>
          <w:rFonts w:hint="eastAsia" w:cs="Times New Roman" w:asciiTheme="minorEastAsia" w:hAnsiTheme="minorEastAsia"/>
          <w:b/>
          <w:bCs w:val="0"/>
          <w:sz w:val="30"/>
          <w:szCs w:val="30"/>
        </w:rPr>
        <w:t>）</w:t>
      </w:r>
    </w:p>
    <w:p w14:paraId="530CBC0C">
      <w:pPr>
        <w:rPr>
          <w:rFonts w:cs="Times New Roman" w:asciiTheme="minorEastAsia" w:hAnsiTheme="minorEastAsia"/>
        </w:rPr>
      </w:pPr>
    </w:p>
    <w:p w14:paraId="530CBC0D">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项目背景及意义</w:t>
      </w:r>
    </w:p>
    <w:p w14:paraId="530CBC0E">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为推动中国碳排放权交易市场与温室气体自愿减排交易市场的稳定发展及持续完善，世界银行与生态环境部合作实施了</w:t>
      </w:r>
      <w:r>
        <w:rPr>
          <w:rFonts w:cs="Times New Roman" w:asciiTheme="minorEastAsia" w:hAnsiTheme="minorEastAsia"/>
          <w:sz w:val="28"/>
          <w:szCs w:val="28"/>
        </w:rPr>
        <w:t>“</w:t>
      </w:r>
      <w:r>
        <w:rPr>
          <w:rFonts w:hint="eastAsia" w:cs="Times New Roman" w:asciiTheme="minorEastAsia" w:hAnsiTheme="minorEastAsia"/>
          <w:sz w:val="28"/>
          <w:szCs w:val="28"/>
        </w:rPr>
        <w:t>中国市场伙伴实施基金项目</w:t>
      </w:r>
      <w:r>
        <w:rPr>
          <w:rFonts w:cs="Times New Roman" w:asciiTheme="minorEastAsia" w:hAnsiTheme="minorEastAsia"/>
          <w:sz w:val="28"/>
          <w:szCs w:val="28"/>
        </w:rPr>
        <w:t>”</w:t>
      </w:r>
      <w:r>
        <w:rPr>
          <w:rFonts w:hint="eastAsia" w:cs="Times New Roman" w:asciiTheme="minorEastAsia" w:hAnsiTheme="minorEastAsia"/>
          <w:sz w:val="28"/>
          <w:szCs w:val="28"/>
        </w:rPr>
        <w:t>。该项目旨在支持中国国家层面碳定价工具的设计、实施与管理能力提升，包括优化完善全国碳排放权交易市场（</w:t>
      </w:r>
      <w:r>
        <w:rPr>
          <w:rFonts w:cs="Times New Roman" w:asciiTheme="minorEastAsia" w:hAnsiTheme="minorEastAsia"/>
          <w:sz w:val="28"/>
          <w:szCs w:val="28"/>
        </w:rPr>
        <w:t>ETS</w:t>
      </w:r>
      <w:r>
        <w:rPr>
          <w:rFonts w:hint="eastAsia" w:cs="Times New Roman" w:asciiTheme="minorEastAsia" w:hAnsiTheme="minorEastAsia"/>
          <w:sz w:val="28"/>
          <w:szCs w:val="28"/>
        </w:rPr>
        <w:t>）与国家核证自愿减排量（</w:t>
      </w:r>
      <w:r>
        <w:rPr>
          <w:rFonts w:cs="Times New Roman" w:asciiTheme="minorEastAsia" w:hAnsiTheme="minorEastAsia"/>
          <w:sz w:val="28"/>
          <w:szCs w:val="28"/>
        </w:rPr>
        <w:t>CCER</w:t>
      </w:r>
      <w:r>
        <w:rPr>
          <w:rFonts w:hint="eastAsia" w:cs="Times New Roman" w:asciiTheme="minorEastAsia" w:hAnsiTheme="minorEastAsia"/>
          <w:sz w:val="28"/>
          <w:szCs w:val="28"/>
        </w:rPr>
        <w:t>）体系，助力其与《巴黎协定》第六条下的国际碳交易实现衔接兼容；同时，将分析引入碳税以补充</w:t>
      </w:r>
      <w:r>
        <w:rPr>
          <w:rFonts w:cs="Times New Roman" w:asciiTheme="minorEastAsia" w:hAnsiTheme="minorEastAsia"/>
          <w:sz w:val="28"/>
          <w:szCs w:val="28"/>
        </w:rPr>
        <w:t>ETS</w:t>
      </w:r>
      <w:r>
        <w:rPr>
          <w:rFonts w:hint="eastAsia" w:cs="Times New Roman" w:asciiTheme="minorEastAsia" w:hAnsiTheme="minorEastAsia"/>
          <w:sz w:val="28"/>
          <w:szCs w:val="28"/>
        </w:rPr>
        <w:t>的可行性。生态环境部对外合作与交流中心（</w:t>
      </w:r>
      <w:r>
        <w:rPr>
          <w:rFonts w:cs="Times New Roman" w:asciiTheme="minorEastAsia" w:hAnsiTheme="minorEastAsia"/>
          <w:sz w:val="28"/>
          <w:szCs w:val="28"/>
        </w:rPr>
        <w:t>FECO</w:t>
      </w:r>
      <w:r>
        <w:rPr>
          <w:rFonts w:hint="eastAsia" w:cs="Times New Roman" w:asciiTheme="minorEastAsia" w:hAnsiTheme="minorEastAsia"/>
          <w:sz w:val="28"/>
          <w:szCs w:val="28"/>
        </w:rPr>
        <w:t>）受委托作为项目管理办公室（</w:t>
      </w:r>
      <w:r>
        <w:rPr>
          <w:rFonts w:cs="Times New Roman" w:asciiTheme="minorEastAsia" w:hAnsiTheme="minorEastAsia"/>
          <w:sz w:val="28"/>
          <w:szCs w:val="28"/>
        </w:rPr>
        <w:t>PMO</w:t>
      </w:r>
      <w:r>
        <w:rPr>
          <w:rFonts w:hint="eastAsia" w:cs="Times New Roman" w:asciiTheme="minorEastAsia" w:hAnsiTheme="minorEastAsia"/>
          <w:sz w:val="28"/>
          <w:szCs w:val="28"/>
        </w:rPr>
        <w:t>），负责统筹项目实施工作。</w:t>
      </w:r>
    </w:p>
    <w:p w14:paraId="530CBC0F">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碳定价是指对温室气体排放赋予经济价值、通过价格信号引导减排行为的政策机制，国际通行的主要碳定价政策机制包括碳排放权交易体系和碳税，也有自愿减排交易的补充型、抵消类碳定价工具。目前，中国未征收碳税，但有全国碳排放权交易市场和全国温室气体自愿减排交易市场，两者组成了中国碳市场。中国碳市场已成为践行气候承诺、实现</w:t>
      </w:r>
      <w:r>
        <w:rPr>
          <w:rFonts w:cs="Times New Roman" w:asciiTheme="minorEastAsia" w:hAnsiTheme="minorEastAsia"/>
          <w:sz w:val="28"/>
          <w:szCs w:val="28"/>
        </w:rPr>
        <w:t>“</w:t>
      </w:r>
      <w:r>
        <w:rPr>
          <w:rFonts w:hint="eastAsia" w:cs="Times New Roman" w:asciiTheme="minorEastAsia" w:hAnsiTheme="minorEastAsia"/>
          <w:sz w:val="28"/>
          <w:szCs w:val="28"/>
        </w:rPr>
        <w:t>双碳</w:t>
      </w:r>
      <w:r>
        <w:rPr>
          <w:rFonts w:cs="Times New Roman" w:asciiTheme="minorEastAsia" w:hAnsiTheme="minorEastAsia"/>
          <w:sz w:val="28"/>
          <w:szCs w:val="28"/>
        </w:rPr>
        <w:t>”</w:t>
      </w:r>
      <w:r>
        <w:rPr>
          <w:rFonts w:hint="eastAsia" w:cs="Times New Roman" w:asciiTheme="minorEastAsia" w:hAnsiTheme="minorEastAsia"/>
          <w:sz w:val="28"/>
          <w:szCs w:val="28"/>
        </w:rPr>
        <w:t>目标的核心碳定价工具。全国碳排放权交易市场自</w:t>
      </w:r>
      <w:r>
        <w:rPr>
          <w:rFonts w:cs="Times New Roman" w:asciiTheme="minorEastAsia" w:hAnsiTheme="minorEastAsia"/>
          <w:sz w:val="28"/>
          <w:szCs w:val="28"/>
        </w:rPr>
        <w:t>2021</w:t>
      </w:r>
      <w:r>
        <w:rPr>
          <w:rFonts w:hint="eastAsia" w:cs="Times New Roman" w:asciiTheme="minorEastAsia" w:hAnsiTheme="minorEastAsia"/>
          <w:sz w:val="28"/>
          <w:szCs w:val="28"/>
        </w:rPr>
        <w:t>年启动，纳入发电行业并平稳运行，</w:t>
      </w:r>
      <w:r>
        <w:rPr>
          <w:rFonts w:cs="Times New Roman" w:asciiTheme="minorEastAsia" w:hAnsiTheme="minorEastAsia"/>
          <w:sz w:val="28"/>
          <w:szCs w:val="28"/>
        </w:rPr>
        <w:t>2025</w:t>
      </w:r>
      <w:r>
        <w:rPr>
          <w:rFonts w:hint="eastAsia" w:cs="Times New Roman" w:asciiTheme="minorEastAsia" w:hAnsiTheme="minorEastAsia"/>
          <w:sz w:val="28"/>
          <w:szCs w:val="28"/>
        </w:rPr>
        <w:t>年已扩围至钢铁、水泥、铝冶炼行业。全国温室气体自愿减排交易市场于</w:t>
      </w:r>
      <w:r>
        <w:rPr>
          <w:rFonts w:cs="Times New Roman" w:asciiTheme="minorEastAsia" w:hAnsiTheme="minorEastAsia"/>
          <w:sz w:val="28"/>
          <w:szCs w:val="28"/>
        </w:rPr>
        <w:t>2024</w:t>
      </w:r>
      <w:r>
        <w:rPr>
          <w:rFonts w:hint="eastAsia" w:cs="Times New Roman" w:asciiTheme="minorEastAsia" w:hAnsiTheme="minorEastAsia"/>
          <w:sz w:val="28"/>
          <w:szCs w:val="28"/>
        </w:rPr>
        <w:t>年启动，已发布多项方法学，市场运行有序推进。</w:t>
      </w:r>
    </w:p>
    <w:p w14:paraId="530CBC10">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2026</w:t>
      </w:r>
      <w:r>
        <w:rPr>
          <w:rFonts w:hint="eastAsia" w:cs="Times New Roman" w:asciiTheme="minorEastAsia" w:hAnsiTheme="minorEastAsia"/>
          <w:sz w:val="28"/>
          <w:szCs w:val="28"/>
        </w:rPr>
        <w:t>年</w:t>
      </w:r>
      <w:r>
        <w:rPr>
          <w:rFonts w:cs="Times New Roman" w:asciiTheme="minorEastAsia" w:hAnsiTheme="minorEastAsia"/>
          <w:sz w:val="28"/>
          <w:szCs w:val="28"/>
        </w:rPr>
        <w:t>3</w:t>
      </w:r>
      <w:r>
        <w:rPr>
          <w:rFonts w:hint="eastAsia" w:cs="Times New Roman" w:asciiTheme="minorEastAsia" w:hAnsiTheme="minorEastAsia"/>
          <w:sz w:val="28"/>
          <w:szCs w:val="28"/>
        </w:rPr>
        <w:t>月发布的《中华人民共和国国民经济和社会发展第十五个五年规划纲要》（以下简称“规划纲要”）明确提出，要积极稳妥推进和实现碳达峰，全面实施碳排放总量和强度双控制度，扩大全国碳排放权交易市场覆盖范围，加快温室气体自愿减排交易市场建设。规划纲要强调，要完善碳排放统计核算体系和动态监测预警机制，健全产品碳足迹核算规则标准和碳标识认证制度。同时，规划纲要在深化能源体制改革、优化产业政策等方面作出系统部署，要求加强财政、产业、价格、环保等政策的协同配合。这些制度安排为碳定价机制的有效实施和功能发挥提供了重要的政策指引，也对碳定价政策与相关领域政策的系统性协调提出了更高要求。</w:t>
      </w:r>
    </w:p>
    <w:p w14:paraId="530CBC11">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由国际和国内实践可见，碳定价工具政策通常以多种形式存在，其政策功能的充分发挥，有赖于</w:t>
      </w:r>
      <w:r>
        <w:rPr>
          <w:rFonts w:cs="Times New Roman" w:asciiTheme="minorEastAsia" w:hAnsiTheme="minorEastAsia"/>
          <w:sz w:val="28"/>
          <w:szCs w:val="28"/>
        </w:rPr>
        <w:t>“1+N”</w:t>
      </w:r>
      <w:r>
        <w:rPr>
          <w:rFonts w:hint="eastAsia" w:cs="Times New Roman" w:asciiTheme="minorEastAsia" w:hAnsiTheme="minorEastAsia"/>
          <w:sz w:val="28"/>
          <w:szCs w:val="28"/>
        </w:rPr>
        <w:t>政策体系</w:t>
      </w:r>
      <w:r>
        <w:rPr>
          <w:rStyle w:val="16"/>
          <w:rFonts w:cs="Times New Roman" w:asciiTheme="minorEastAsia" w:hAnsiTheme="minorEastAsia"/>
          <w:sz w:val="28"/>
          <w:szCs w:val="28"/>
        </w:rPr>
        <w:footnoteReference w:id="0"/>
      </w:r>
      <w:r>
        <w:rPr>
          <w:rFonts w:hint="eastAsia" w:cs="Times New Roman" w:asciiTheme="minorEastAsia" w:hAnsiTheme="minorEastAsia"/>
          <w:sz w:val="28"/>
          <w:szCs w:val="28"/>
        </w:rPr>
        <w:t>下，其与国家宏观经济政策、产业发展政策、能源政策等进行深度协同。目前，关于碳定价政策（包括</w:t>
      </w:r>
      <w:r>
        <w:rPr>
          <w:rFonts w:cs="Times New Roman" w:asciiTheme="minorEastAsia" w:hAnsiTheme="minorEastAsia"/>
          <w:sz w:val="28"/>
          <w:szCs w:val="28"/>
        </w:rPr>
        <w:t>ETS</w:t>
      </w:r>
      <w:r>
        <w:rPr>
          <w:rFonts w:hint="eastAsia" w:cs="Times New Roman" w:asciiTheme="minorEastAsia" w:hAnsiTheme="minorEastAsia"/>
          <w:sz w:val="28"/>
          <w:szCs w:val="28"/>
        </w:rPr>
        <w:t>、</w:t>
      </w:r>
      <w:r>
        <w:rPr>
          <w:rFonts w:cs="Times New Roman" w:asciiTheme="minorEastAsia" w:hAnsiTheme="minorEastAsia"/>
          <w:sz w:val="28"/>
          <w:szCs w:val="28"/>
        </w:rPr>
        <w:t>CCER</w:t>
      </w:r>
      <w:r>
        <w:rPr>
          <w:rFonts w:hint="eastAsia" w:cs="Times New Roman" w:asciiTheme="minorEastAsia" w:hAnsiTheme="minorEastAsia"/>
          <w:sz w:val="28"/>
          <w:szCs w:val="28"/>
        </w:rPr>
        <w:t>及碳税选项</w:t>
      </w:r>
      <w:r>
        <w:rPr>
          <w:rStyle w:val="16"/>
          <w:rFonts w:cs="Times New Roman" w:asciiTheme="minorEastAsia" w:hAnsiTheme="minorEastAsia"/>
          <w:sz w:val="28"/>
          <w:szCs w:val="28"/>
        </w:rPr>
        <w:footnoteReference w:id="1"/>
      </w:r>
      <w:r>
        <w:rPr>
          <w:rFonts w:hint="eastAsia" w:cs="Times New Roman" w:asciiTheme="minorEastAsia" w:hAnsiTheme="minorEastAsia"/>
          <w:sz w:val="28"/>
          <w:szCs w:val="28"/>
        </w:rPr>
        <w:t>）在中国整体发展政策组合中的定位、其与各部门政策的相互作用机制、以及其对实现碳中和目标的贡献，尚缺乏系统性的宏观分析与评估。为此，本项目文件</w:t>
      </w:r>
      <w:r>
        <w:rPr>
          <w:rFonts w:asciiTheme="minorEastAsia" w:hAnsiTheme="minorEastAsia"/>
          <w:vertAlign w:val="superscript"/>
        </w:rPr>
        <w:footnoteReference w:id="2"/>
      </w:r>
      <w:r>
        <w:rPr>
          <w:rFonts w:hint="eastAsia" w:cs="Times New Roman" w:asciiTheme="minorEastAsia" w:hAnsiTheme="minorEastAsia"/>
          <w:sz w:val="28"/>
          <w:szCs w:val="28"/>
        </w:rPr>
        <w:t>在第一部分内容中，专门设计了碳定价政策与相关重点行业政策的关联性和协同性研究。</w:t>
      </w:r>
    </w:p>
    <w:p w14:paraId="530CBC12">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咨询服务目标</w:t>
      </w:r>
    </w:p>
    <w:p w14:paraId="5302246A">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本分包任务旨在从宏观战略层面，深入研究碳定价机制在中国发展政策组合中的定位与实施路径，为政策制定者提供关于优化政策组合、加强部门协调、明确碳定价长期路径的战略性建议。</w:t>
      </w:r>
    </w:p>
    <w:p w14:paraId="530CBC14">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工作内容及要求</w:t>
      </w:r>
    </w:p>
    <w:p w14:paraId="530CBC15">
      <w:pPr>
        <w:pStyle w:val="4"/>
        <w:spacing w:before="156" w:beforeLines="50" w:after="156" w:afterLines="50" w:line="240" w:lineRule="auto"/>
        <w:ind w:firstLine="56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 xml:space="preserve">3.1 </w:t>
      </w:r>
      <w:r>
        <w:rPr>
          <w:rFonts w:hint="eastAsia" w:cs="Times New Roman" w:asciiTheme="minorEastAsia" w:hAnsiTheme="minorEastAsia" w:eastAsiaTheme="minorEastAsia"/>
          <w:sz w:val="28"/>
          <w:szCs w:val="28"/>
        </w:rPr>
        <w:t>总体工作范围</w:t>
      </w:r>
    </w:p>
    <w:p w14:paraId="6F87F2C8">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本任务将重点分析碳定价政策与</w:t>
      </w:r>
      <w:r>
        <w:rPr>
          <w:rFonts w:cs="Times New Roman" w:asciiTheme="minorEastAsia" w:hAnsiTheme="minorEastAsia"/>
          <w:sz w:val="28"/>
          <w:szCs w:val="28"/>
        </w:rPr>
        <w:t>“1+N”</w:t>
      </w:r>
      <w:r>
        <w:rPr>
          <w:rFonts w:hint="eastAsia" w:cs="Times New Roman" w:asciiTheme="minorEastAsia" w:hAnsiTheme="minorEastAsia"/>
          <w:sz w:val="28"/>
          <w:szCs w:val="28"/>
        </w:rPr>
        <w:t>政策体系的协调关系，并尝试评估碳定价（特别是</w:t>
      </w:r>
      <w:r>
        <w:rPr>
          <w:rFonts w:cs="Times New Roman" w:asciiTheme="minorEastAsia" w:hAnsiTheme="minorEastAsia"/>
          <w:sz w:val="28"/>
          <w:szCs w:val="28"/>
        </w:rPr>
        <w:t>ETS</w:t>
      </w:r>
      <w:r>
        <w:rPr>
          <w:rFonts w:hint="eastAsia" w:cs="Times New Roman" w:asciiTheme="minorEastAsia" w:hAnsiTheme="minorEastAsia"/>
          <w:sz w:val="28"/>
          <w:szCs w:val="28"/>
        </w:rPr>
        <w:t>）对于中国实现碳中和目标的潜在贡献，以及对实现中国国家自主贡献（</w:t>
      </w:r>
      <w:r>
        <w:rPr>
          <w:rFonts w:cs="Times New Roman" w:asciiTheme="minorEastAsia" w:hAnsiTheme="minorEastAsia"/>
          <w:sz w:val="28"/>
          <w:szCs w:val="28"/>
        </w:rPr>
        <w:t>NDC</w:t>
      </w:r>
      <w:r>
        <w:rPr>
          <w:rFonts w:hint="eastAsia" w:cs="Times New Roman" w:asciiTheme="minorEastAsia" w:hAnsiTheme="minorEastAsia"/>
          <w:sz w:val="28"/>
          <w:szCs w:val="28"/>
        </w:rPr>
        <w:t>）目标的作用。本分包任务将从宏观分析与政策协调的角度，开展以下工作：</w:t>
      </w:r>
    </w:p>
    <w:p w14:paraId="04C43CF0">
      <w:pPr>
        <w:pStyle w:val="25"/>
        <w:numPr>
          <w:ilvl w:val="0"/>
          <w:numId w:val="2"/>
        </w:numPr>
        <w:spacing w:before="156" w:beforeLines="50" w:after="156" w:afterLines="50"/>
        <w:ind w:firstLineChars="0"/>
        <w:rPr>
          <w:rFonts w:cs="Times New Roman" w:asciiTheme="minorEastAsia" w:hAnsiTheme="minorEastAsia"/>
          <w:sz w:val="28"/>
          <w:szCs w:val="28"/>
        </w:rPr>
      </w:pPr>
      <w:r>
        <w:rPr>
          <w:rFonts w:hint="eastAsia" w:cs="Times New Roman" w:asciiTheme="minorEastAsia" w:hAnsiTheme="minorEastAsia"/>
          <w:sz w:val="28"/>
          <w:szCs w:val="28"/>
        </w:rPr>
        <w:t>明确碳定价政策在</w:t>
      </w:r>
      <w:r>
        <w:rPr>
          <w:rFonts w:cs="Times New Roman" w:asciiTheme="minorEastAsia" w:hAnsiTheme="minorEastAsia"/>
          <w:sz w:val="28"/>
          <w:szCs w:val="28"/>
        </w:rPr>
        <w:t>“1+N”</w:t>
      </w:r>
      <w:r>
        <w:rPr>
          <w:rFonts w:hint="eastAsia" w:cs="Times New Roman" w:asciiTheme="minorEastAsia" w:hAnsiTheme="minorEastAsia"/>
          <w:sz w:val="28"/>
          <w:szCs w:val="28"/>
        </w:rPr>
        <w:t>政策体系中的定位；</w:t>
      </w:r>
    </w:p>
    <w:p w14:paraId="091B4CEB">
      <w:pPr>
        <w:pStyle w:val="25"/>
        <w:numPr>
          <w:ilvl w:val="0"/>
          <w:numId w:val="2"/>
        </w:numPr>
        <w:spacing w:before="156" w:beforeLines="50" w:after="156" w:afterLines="50"/>
        <w:ind w:firstLineChars="0"/>
        <w:rPr>
          <w:rFonts w:cs="Times New Roman" w:asciiTheme="minorEastAsia" w:hAnsiTheme="minorEastAsia"/>
          <w:sz w:val="28"/>
          <w:szCs w:val="28"/>
        </w:rPr>
      </w:pPr>
      <w:r>
        <w:rPr>
          <w:rFonts w:hint="eastAsia" w:cs="Times New Roman" w:asciiTheme="minorEastAsia" w:hAnsiTheme="minorEastAsia"/>
          <w:sz w:val="28"/>
          <w:szCs w:val="28"/>
        </w:rPr>
        <w:t>分析碳定价政策与中国发展政策组合（特别是与能源部门、</w:t>
      </w:r>
      <w:r>
        <w:rPr>
          <w:rFonts w:cs="Times New Roman" w:asciiTheme="minorEastAsia" w:hAnsiTheme="minorEastAsia"/>
          <w:sz w:val="28"/>
          <w:szCs w:val="28"/>
        </w:rPr>
        <w:t>ETS</w:t>
      </w:r>
      <w:r>
        <w:rPr>
          <w:rFonts w:hint="eastAsia" w:cs="Times New Roman" w:asciiTheme="minorEastAsia" w:hAnsiTheme="minorEastAsia"/>
          <w:sz w:val="28"/>
          <w:szCs w:val="28"/>
        </w:rPr>
        <w:t>已扩围的水泥、钢铁、铝冶炼行业及拟扩围的部门政策）的相互作用；</w:t>
      </w:r>
    </w:p>
    <w:p w14:paraId="79A0900A">
      <w:pPr>
        <w:pStyle w:val="25"/>
        <w:numPr>
          <w:ilvl w:val="0"/>
          <w:numId w:val="2"/>
        </w:numPr>
        <w:spacing w:before="156" w:beforeLines="50" w:after="156" w:afterLines="50"/>
        <w:ind w:firstLineChars="0"/>
        <w:rPr>
          <w:rFonts w:cs="Times New Roman" w:asciiTheme="minorEastAsia" w:hAnsiTheme="minorEastAsia"/>
          <w:sz w:val="28"/>
          <w:szCs w:val="28"/>
        </w:rPr>
      </w:pPr>
      <w:r>
        <w:rPr>
          <w:rFonts w:hint="eastAsia" w:cs="Times New Roman" w:asciiTheme="minorEastAsia" w:hAnsiTheme="minorEastAsia"/>
          <w:sz w:val="28"/>
          <w:szCs w:val="28"/>
        </w:rPr>
        <w:t>分析碳定价政策对</w:t>
      </w:r>
      <w:r>
        <w:rPr>
          <w:rFonts w:cs="Times New Roman" w:asciiTheme="minorEastAsia" w:hAnsiTheme="minorEastAsia"/>
          <w:sz w:val="28"/>
          <w:szCs w:val="28"/>
        </w:rPr>
        <w:t>ETS</w:t>
      </w:r>
      <w:r>
        <w:rPr>
          <w:rFonts w:hint="eastAsia" w:cs="Times New Roman" w:asciiTheme="minorEastAsia" w:hAnsiTheme="minorEastAsia"/>
          <w:sz w:val="28"/>
          <w:szCs w:val="28"/>
        </w:rPr>
        <w:t>总体价格路径的影响，以及其在推动碳排放总量控制方面的作用；</w:t>
      </w:r>
    </w:p>
    <w:p w14:paraId="1AC0F769">
      <w:pPr>
        <w:pStyle w:val="25"/>
        <w:numPr>
          <w:ilvl w:val="0"/>
          <w:numId w:val="2"/>
        </w:numPr>
        <w:spacing w:before="156" w:beforeLines="50" w:after="156" w:afterLines="50"/>
        <w:ind w:firstLineChars="0"/>
        <w:rPr>
          <w:rFonts w:cs="Times New Roman" w:asciiTheme="minorEastAsia" w:hAnsiTheme="minorEastAsia"/>
          <w:sz w:val="28"/>
          <w:szCs w:val="28"/>
        </w:rPr>
      </w:pPr>
      <w:r>
        <w:rPr>
          <w:rFonts w:hint="eastAsia" w:cs="Times New Roman" w:asciiTheme="minorEastAsia" w:hAnsiTheme="minorEastAsia"/>
          <w:sz w:val="28"/>
          <w:szCs w:val="28"/>
        </w:rPr>
        <w:t>开展配套政策的差距分析，系统评估现行配套政策在支持碳定价政策有效实施方面的短板或重叠之处，并在此基础上提出相关政策建议；</w:t>
      </w:r>
    </w:p>
    <w:p w14:paraId="530CBC16">
      <w:pPr>
        <w:pStyle w:val="25"/>
        <w:numPr>
          <w:ilvl w:val="0"/>
          <w:numId w:val="2"/>
        </w:numPr>
        <w:spacing w:before="156" w:beforeLines="50" w:after="156" w:afterLines="50"/>
        <w:ind w:firstLineChars="0"/>
        <w:rPr>
          <w:rFonts w:eastAsia="仿宋" w:cs="Times New Roman" w:asciiTheme="minorEastAsia" w:hAnsiTheme="minorEastAsia"/>
          <w:strike/>
          <w:sz w:val="28"/>
          <w:szCs w:val="28"/>
        </w:rPr>
      </w:pPr>
      <w:r>
        <w:rPr>
          <w:rFonts w:hint="eastAsia" w:cs="Times New Roman" w:asciiTheme="minorEastAsia" w:hAnsiTheme="minorEastAsia"/>
          <w:sz w:val="28"/>
          <w:szCs w:val="28"/>
        </w:rPr>
        <w:t>就政策架构、政策组合的进一步协调、配套政策的优化，以及深化</w:t>
      </w:r>
      <w:r>
        <w:rPr>
          <w:rFonts w:cs="Times New Roman" w:asciiTheme="minorEastAsia" w:hAnsiTheme="minorEastAsia"/>
          <w:sz w:val="28"/>
          <w:szCs w:val="28"/>
        </w:rPr>
        <w:t>ETS</w:t>
      </w:r>
      <w:r>
        <w:rPr>
          <w:rFonts w:hint="eastAsia" w:cs="Times New Roman" w:asciiTheme="minorEastAsia" w:hAnsiTheme="minorEastAsia"/>
          <w:sz w:val="28"/>
          <w:szCs w:val="28"/>
        </w:rPr>
        <w:t>对于碳排放总量控制的贡献等方面提出建议。</w:t>
      </w:r>
    </w:p>
    <w:p w14:paraId="121553F9">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在</w:t>
      </w:r>
      <w:r>
        <w:rPr>
          <w:rFonts w:cs="Times New Roman" w:asciiTheme="minorEastAsia" w:hAnsiTheme="minorEastAsia"/>
          <w:sz w:val="28"/>
          <w:szCs w:val="28"/>
        </w:rPr>
        <w:t>PMO</w:t>
      </w:r>
      <w:r>
        <w:rPr>
          <w:rFonts w:hint="eastAsia" w:cs="Times New Roman" w:asciiTheme="minorEastAsia" w:hAnsiTheme="minorEastAsia"/>
          <w:sz w:val="28"/>
          <w:szCs w:val="28"/>
        </w:rPr>
        <w:t>总体协调下，本分包任务需与</w:t>
      </w:r>
      <w:r>
        <w:rPr>
          <w:rFonts w:cs="Times New Roman" w:asciiTheme="minorEastAsia" w:hAnsiTheme="minorEastAsia"/>
          <w:sz w:val="28"/>
          <w:szCs w:val="28"/>
        </w:rPr>
        <w:t>PMI-2</w:t>
      </w:r>
      <w:r>
        <w:rPr>
          <w:rStyle w:val="16"/>
          <w:rFonts w:cs="Times New Roman" w:asciiTheme="minorEastAsia" w:hAnsiTheme="minorEastAsia"/>
          <w:sz w:val="28"/>
          <w:szCs w:val="28"/>
        </w:rPr>
        <w:footnoteReference w:id="3"/>
      </w:r>
      <w:r>
        <w:rPr>
          <w:rFonts w:hint="eastAsia" w:cs="Times New Roman" w:asciiTheme="minorEastAsia" w:hAnsiTheme="minorEastAsia"/>
          <w:sz w:val="28"/>
          <w:szCs w:val="28"/>
        </w:rPr>
        <w:t>，</w:t>
      </w:r>
      <w:r>
        <w:rPr>
          <w:rFonts w:cs="Times New Roman" w:asciiTheme="minorEastAsia" w:hAnsiTheme="minorEastAsia"/>
          <w:sz w:val="28"/>
          <w:szCs w:val="28"/>
        </w:rPr>
        <w:t>PMI-3</w:t>
      </w:r>
      <w:r>
        <w:rPr>
          <w:rStyle w:val="16"/>
          <w:rFonts w:cs="Times New Roman" w:asciiTheme="minorEastAsia" w:hAnsiTheme="minorEastAsia"/>
          <w:sz w:val="28"/>
          <w:szCs w:val="28"/>
        </w:rPr>
        <w:footnoteReference w:id="4"/>
      </w:r>
      <w:r>
        <w:rPr>
          <w:rFonts w:hint="eastAsia" w:cs="Times New Roman" w:asciiTheme="minorEastAsia" w:hAnsiTheme="minorEastAsia"/>
          <w:sz w:val="28"/>
          <w:szCs w:val="28"/>
        </w:rPr>
        <w:t>，</w:t>
      </w:r>
      <w:r>
        <w:rPr>
          <w:rFonts w:cs="Times New Roman" w:asciiTheme="minorEastAsia" w:hAnsiTheme="minorEastAsia"/>
          <w:sz w:val="28"/>
          <w:szCs w:val="28"/>
        </w:rPr>
        <w:t>PMI-4</w:t>
      </w:r>
      <w:r>
        <w:rPr>
          <w:rStyle w:val="16"/>
          <w:rFonts w:cs="Times New Roman" w:asciiTheme="minorEastAsia" w:hAnsiTheme="minorEastAsia"/>
          <w:sz w:val="28"/>
          <w:szCs w:val="28"/>
        </w:rPr>
        <w:footnoteReference w:id="5"/>
      </w:r>
      <w:r>
        <w:rPr>
          <w:rFonts w:hint="eastAsia" w:cs="Times New Roman" w:asciiTheme="minorEastAsia" w:hAnsiTheme="minorEastAsia"/>
          <w:sz w:val="28"/>
          <w:szCs w:val="28"/>
        </w:rPr>
        <w:t>，</w:t>
      </w:r>
      <w:r>
        <w:rPr>
          <w:rFonts w:cs="Times New Roman" w:asciiTheme="minorEastAsia" w:hAnsiTheme="minorEastAsia"/>
          <w:sz w:val="28"/>
          <w:szCs w:val="28"/>
        </w:rPr>
        <w:t>PMI-15</w:t>
      </w:r>
      <w:r>
        <w:rPr>
          <w:rStyle w:val="16"/>
          <w:rFonts w:cs="Times New Roman" w:asciiTheme="minorEastAsia" w:hAnsiTheme="minorEastAsia"/>
          <w:sz w:val="28"/>
          <w:szCs w:val="28"/>
        </w:rPr>
        <w:footnoteReference w:id="6"/>
      </w:r>
      <w:r>
        <w:rPr>
          <w:rFonts w:hint="eastAsia" w:cs="Times New Roman" w:asciiTheme="minorEastAsia" w:hAnsiTheme="minorEastAsia"/>
          <w:sz w:val="28"/>
          <w:szCs w:val="28"/>
        </w:rPr>
        <w:t>，</w:t>
      </w:r>
      <w:r>
        <w:rPr>
          <w:rFonts w:cs="Times New Roman" w:asciiTheme="minorEastAsia" w:hAnsiTheme="minorEastAsia"/>
          <w:sz w:val="28"/>
          <w:szCs w:val="28"/>
        </w:rPr>
        <w:t>PMI-16</w:t>
      </w:r>
      <w:r>
        <w:rPr>
          <w:rStyle w:val="16"/>
          <w:rFonts w:cs="Times New Roman" w:asciiTheme="minorEastAsia" w:hAnsiTheme="minorEastAsia"/>
          <w:sz w:val="28"/>
          <w:szCs w:val="28"/>
        </w:rPr>
        <w:footnoteReference w:id="7"/>
      </w:r>
      <w:r>
        <w:rPr>
          <w:rFonts w:hint="eastAsia" w:cs="Times New Roman" w:asciiTheme="minorEastAsia" w:hAnsiTheme="minorEastAsia"/>
          <w:sz w:val="28"/>
          <w:szCs w:val="28"/>
        </w:rPr>
        <w:t>，</w:t>
      </w:r>
      <w:r>
        <w:rPr>
          <w:rFonts w:cs="Times New Roman" w:asciiTheme="minorEastAsia" w:hAnsiTheme="minorEastAsia"/>
          <w:sz w:val="28"/>
          <w:szCs w:val="28"/>
        </w:rPr>
        <w:t>PMI-20</w:t>
      </w:r>
      <w:r>
        <w:rPr>
          <w:rStyle w:val="16"/>
          <w:rFonts w:cs="Times New Roman" w:asciiTheme="minorEastAsia" w:hAnsiTheme="minorEastAsia"/>
          <w:sz w:val="28"/>
          <w:szCs w:val="28"/>
        </w:rPr>
        <w:footnoteReference w:id="8"/>
      </w:r>
      <w:r>
        <w:rPr>
          <w:rFonts w:hint="eastAsia" w:cs="Times New Roman" w:asciiTheme="minorEastAsia" w:hAnsiTheme="minorEastAsia"/>
          <w:sz w:val="28"/>
          <w:szCs w:val="28"/>
        </w:rPr>
        <w:t>，</w:t>
      </w:r>
      <w:r>
        <w:rPr>
          <w:rFonts w:cs="Times New Roman" w:asciiTheme="minorEastAsia" w:hAnsiTheme="minorEastAsia"/>
          <w:sz w:val="28"/>
          <w:szCs w:val="28"/>
        </w:rPr>
        <w:t>PMI-21</w:t>
      </w:r>
      <w:r>
        <w:rPr>
          <w:rStyle w:val="16"/>
          <w:rFonts w:cs="Times New Roman" w:asciiTheme="minorEastAsia" w:hAnsiTheme="minorEastAsia"/>
          <w:sz w:val="28"/>
          <w:szCs w:val="28"/>
        </w:rPr>
        <w:footnoteReference w:id="9"/>
      </w:r>
      <w:r>
        <w:rPr>
          <w:rFonts w:hint="eastAsia" w:cs="Times New Roman" w:asciiTheme="minorEastAsia" w:hAnsiTheme="minorEastAsia"/>
          <w:sz w:val="28"/>
          <w:szCs w:val="28"/>
        </w:rPr>
        <w:t>，</w:t>
      </w:r>
      <w:r>
        <w:rPr>
          <w:rFonts w:cs="Times New Roman" w:asciiTheme="minorEastAsia" w:hAnsiTheme="minorEastAsia"/>
          <w:sz w:val="28"/>
          <w:szCs w:val="28"/>
        </w:rPr>
        <w:t>PMI-22</w:t>
      </w:r>
      <w:r>
        <w:rPr>
          <w:rStyle w:val="16"/>
          <w:rFonts w:cs="Times New Roman" w:asciiTheme="minorEastAsia" w:hAnsiTheme="minorEastAsia"/>
          <w:sz w:val="28"/>
          <w:szCs w:val="28"/>
        </w:rPr>
        <w:footnoteReference w:id="10"/>
      </w:r>
      <w:r>
        <w:rPr>
          <w:rFonts w:hint="eastAsia" w:cs="Times New Roman" w:asciiTheme="minorEastAsia" w:hAnsiTheme="minorEastAsia"/>
          <w:sz w:val="28"/>
          <w:szCs w:val="28"/>
        </w:rPr>
        <w:t>，</w:t>
      </w:r>
      <w:r>
        <w:rPr>
          <w:rFonts w:cs="Times New Roman" w:asciiTheme="minorEastAsia" w:hAnsiTheme="minorEastAsia"/>
          <w:sz w:val="28"/>
          <w:szCs w:val="28"/>
        </w:rPr>
        <w:t>PMI-23</w:t>
      </w:r>
      <w:r>
        <w:rPr>
          <w:rStyle w:val="16"/>
          <w:rFonts w:cs="Times New Roman" w:asciiTheme="minorEastAsia" w:hAnsiTheme="minorEastAsia"/>
          <w:sz w:val="28"/>
          <w:szCs w:val="28"/>
        </w:rPr>
        <w:footnoteReference w:id="11"/>
      </w:r>
      <w:r>
        <w:rPr>
          <w:rFonts w:hint="eastAsia" w:cs="Times New Roman" w:asciiTheme="minorEastAsia" w:hAnsiTheme="minorEastAsia"/>
          <w:sz w:val="28"/>
          <w:szCs w:val="28"/>
        </w:rPr>
        <w:t>，</w:t>
      </w:r>
      <w:r>
        <w:rPr>
          <w:rFonts w:cs="Times New Roman" w:asciiTheme="minorEastAsia" w:hAnsiTheme="minorEastAsia"/>
          <w:sz w:val="28"/>
          <w:szCs w:val="28"/>
        </w:rPr>
        <w:t>PMI-24</w:t>
      </w:r>
      <w:r>
        <w:rPr>
          <w:rStyle w:val="16"/>
          <w:rFonts w:cs="Times New Roman" w:asciiTheme="minorEastAsia" w:hAnsiTheme="minorEastAsia"/>
          <w:sz w:val="28"/>
          <w:szCs w:val="28"/>
        </w:rPr>
        <w:footnoteReference w:id="12"/>
      </w:r>
      <w:r>
        <w:rPr>
          <w:rFonts w:hint="eastAsia" w:cs="Times New Roman" w:asciiTheme="minorEastAsia" w:hAnsiTheme="minorEastAsia"/>
          <w:sz w:val="28"/>
          <w:szCs w:val="28"/>
        </w:rPr>
        <w:t>，</w:t>
      </w:r>
      <w:r>
        <w:rPr>
          <w:rFonts w:cs="Times New Roman" w:asciiTheme="minorEastAsia" w:hAnsiTheme="minorEastAsia"/>
          <w:sz w:val="28"/>
          <w:szCs w:val="28"/>
        </w:rPr>
        <w:t>PMI-25</w:t>
      </w:r>
      <w:r>
        <w:rPr>
          <w:rStyle w:val="16"/>
          <w:rFonts w:cs="Times New Roman" w:asciiTheme="minorEastAsia" w:hAnsiTheme="minorEastAsia"/>
          <w:sz w:val="28"/>
          <w:szCs w:val="28"/>
        </w:rPr>
        <w:footnoteReference w:id="13"/>
      </w:r>
      <w:r>
        <w:rPr>
          <w:rFonts w:hint="eastAsia" w:cs="Times New Roman" w:asciiTheme="minorEastAsia" w:hAnsiTheme="minorEastAsia"/>
          <w:sz w:val="28"/>
          <w:szCs w:val="28"/>
        </w:rPr>
        <w:t>，</w:t>
      </w:r>
      <w:r>
        <w:rPr>
          <w:rFonts w:cs="Times New Roman" w:asciiTheme="minorEastAsia" w:hAnsiTheme="minorEastAsia"/>
          <w:sz w:val="28"/>
          <w:szCs w:val="28"/>
        </w:rPr>
        <w:t>PMI-26</w:t>
      </w:r>
      <w:r>
        <w:rPr>
          <w:rStyle w:val="16"/>
          <w:rFonts w:cs="Times New Roman" w:asciiTheme="minorEastAsia" w:hAnsiTheme="minorEastAsia"/>
          <w:sz w:val="28"/>
          <w:szCs w:val="28"/>
        </w:rPr>
        <w:footnoteReference w:id="14"/>
      </w:r>
      <w:r>
        <w:rPr>
          <w:rFonts w:hint="eastAsia" w:cs="Times New Roman" w:asciiTheme="minorEastAsia" w:hAnsiTheme="minorEastAsia"/>
          <w:sz w:val="28"/>
          <w:szCs w:val="28"/>
        </w:rPr>
        <w:t>等其他分包任务承担单位保持技术协作与信息共享，确保研究的系统性与一致性。</w:t>
      </w:r>
    </w:p>
    <w:p w14:paraId="530CBC18">
      <w:pPr>
        <w:pStyle w:val="4"/>
        <w:spacing w:before="156" w:beforeLines="50" w:after="156" w:afterLines="50" w:line="240" w:lineRule="auto"/>
        <w:ind w:firstLine="56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 xml:space="preserve">3.2 </w:t>
      </w:r>
      <w:r>
        <w:rPr>
          <w:rFonts w:hint="eastAsia" w:cs="Times New Roman" w:asciiTheme="minorEastAsia" w:hAnsiTheme="minorEastAsia" w:eastAsiaTheme="minorEastAsia"/>
          <w:sz w:val="28"/>
          <w:szCs w:val="28"/>
        </w:rPr>
        <w:t>任务要求描述</w:t>
      </w:r>
    </w:p>
    <w:p w14:paraId="530CBC19">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3.2.1 </w:t>
      </w:r>
      <w:r>
        <w:rPr>
          <w:rFonts w:hint="eastAsia" w:cs="Times New Roman" w:asciiTheme="minorEastAsia" w:hAnsiTheme="minorEastAsia"/>
          <w:sz w:val="28"/>
          <w:szCs w:val="28"/>
        </w:rPr>
        <w:t>从宏观层面分析碳定价政策在</w:t>
      </w:r>
      <w:r>
        <w:rPr>
          <w:rFonts w:cs="Times New Roman" w:asciiTheme="minorEastAsia" w:hAnsiTheme="minorEastAsia"/>
          <w:sz w:val="28"/>
          <w:szCs w:val="28"/>
        </w:rPr>
        <w:t>“1+N”</w:t>
      </w:r>
      <w:r>
        <w:rPr>
          <w:rFonts w:hint="eastAsia" w:cs="Times New Roman" w:asciiTheme="minorEastAsia" w:hAnsiTheme="minorEastAsia"/>
          <w:sz w:val="28"/>
          <w:szCs w:val="28"/>
        </w:rPr>
        <w:t>政策体系中的定位</w:t>
      </w:r>
    </w:p>
    <w:p w14:paraId="6586E463">
      <w:pPr>
        <w:widowControl/>
        <w:spacing w:before="156" w:beforeLines="50" w:after="156" w:afterLines="50"/>
        <w:ind w:firstLine="560" w:firstLineChars="200"/>
        <w:jc w:val="left"/>
        <w:rPr>
          <w:rFonts w:cs="Times New Roman" w:asciiTheme="minorEastAsia" w:hAnsiTheme="minorEastAsia"/>
          <w:sz w:val="28"/>
          <w:szCs w:val="28"/>
          <w:lang w:bidi="ar"/>
        </w:rPr>
      </w:pPr>
      <w:r>
        <w:rPr>
          <w:rFonts w:hint="eastAsia" w:cs="Times New Roman" w:asciiTheme="minorEastAsia" w:hAnsiTheme="minorEastAsia"/>
          <w:sz w:val="28"/>
          <w:szCs w:val="28"/>
          <w:lang w:bidi="ar"/>
        </w:rPr>
        <w:t>本任务首先明确碳定价政策（包括</w:t>
      </w:r>
      <w:r>
        <w:rPr>
          <w:rFonts w:cs="Times New Roman" w:asciiTheme="minorEastAsia" w:hAnsiTheme="minorEastAsia"/>
          <w:sz w:val="28"/>
          <w:szCs w:val="28"/>
          <w:lang w:bidi="ar"/>
        </w:rPr>
        <w:t>ETS</w:t>
      </w:r>
      <w:r>
        <w:rPr>
          <w:rFonts w:hint="eastAsia" w:cs="Times New Roman" w:asciiTheme="minorEastAsia" w:hAnsiTheme="minorEastAsia"/>
          <w:sz w:val="28"/>
          <w:szCs w:val="28"/>
          <w:lang w:bidi="ar"/>
        </w:rPr>
        <w:t>、</w:t>
      </w:r>
      <w:r>
        <w:rPr>
          <w:rFonts w:cs="Times New Roman" w:asciiTheme="minorEastAsia" w:hAnsiTheme="minorEastAsia"/>
          <w:sz w:val="28"/>
          <w:szCs w:val="28"/>
          <w:lang w:bidi="ar"/>
        </w:rPr>
        <w:t>CCER</w:t>
      </w:r>
      <w:r>
        <w:rPr>
          <w:rFonts w:hint="eastAsia" w:cs="Times New Roman" w:asciiTheme="minorEastAsia" w:hAnsiTheme="minorEastAsia"/>
          <w:sz w:val="28"/>
          <w:szCs w:val="28"/>
          <w:lang w:bidi="ar"/>
        </w:rPr>
        <w:t>以及碳税选项）在“</w:t>
      </w:r>
      <w:r>
        <w:rPr>
          <w:rFonts w:cs="Times New Roman" w:asciiTheme="minorEastAsia" w:hAnsiTheme="minorEastAsia"/>
          <w:sz w:val="28"/>
          <w:szCs w:val="28"/>
          <w:lang w:bidi="ar"/>
        </w:rPr>
        <w:t>1+N</w:t>
      </w:r>
      <w:r>
        <w:rPr>
          <w:rFonts w:hint="eastAsia" w:cs="Times New Roman" w:asciiTheme="minorEastAsia" w:hAnsiTheme="minorEastAsia"/>
          <w:sz w:val="28"/>
          <w:szCs w:val="28"/>
          <w:lang w:bidi="ar"/>
        </w:rPr>
        <w:t>”政策体系中的定位，并识别当前定位的不足与改进方向，编制《碳定价政策在“</w:t>
      </w:r>
      <w:r>
        <w:rPr>
          <w:rFonts w:cs="Times New Roman" w:asciiTheme="minorEastAsia" w:hAnsiTheme="minorEastAsia"/>
          <w:sz w:val="28"/>
          <w:szCs w:val="28"/>
          <w:lang w:bidi="ar"/>
        </w:rPr>
        <w:t>1+N</w:t>
      </w:r>
      <w:r>
        <w:rPr>
          <w:rFonts w:hint="eastAsia" w:cs="Times New Roman" w:asciiTheme="minorEastAsia" w:hAnsiTheme="minorEastAsia"/>
          <w:sz w:val="28"/>
          <w:szCs w:val="28"/>
          <w:lang w:bidi="ar"/>
        </w:rPr>
        <w:t>”政策体系中的定位分析报告》，内容包括但不限于：</w:t>
      </w:r>
    </w:p>
    <w:p w14:paraId="74B65DD7">
      <w:pPr>
        <w:pStyle w:val="25"/>
        <w:widowControl/>
        <w:numPr>
          <w:ilvl w:val="0"/>
          <w:numId w:val="3"/>
        </w:numPr>
        <w:spacing w:before="156" w:beforeLines="50" w:after="156" w:afterLines="50"/>
        <w:ind w:firstLineChars="0"/>
        <w:jc w:val="left"/>
        <w:rPr>
          <w:rFonts w:cs="Times New Roman" w:asciiTheme="minorEastAsia" w:hAnsiTheme="minorEastAsia"/>
          <w:sz w:val="28"/>
          <w:szCs w:val="28"/>
          <w:lang w:bidi="ar"/>
        </w:rPr>
      </w:pPr>
      <w:r>
        <w:rPr>
          <w:rFonts w:hint="eastAsia" w:cs="Times New Roman" w:asciiTheme="minorEastAsia" w:hAnsiTheme="minorEastAsia"/>
          <w:sz w:val="28"/>
          <w:szCs w:val="28"/>
          <w:lang w:bidi="ar"/>
        </w:rPr>
        <w:t>梳理“</w:t>
      </w:r>
      <w:r>
        <w:rPr>
          <w:rFonts w:cs="Times New Roman" w:asciiTheme="minorEastAsia" w:hAnsiTheme="minorEastAsia"/>
          <w:sz w:val="28"/>
          <w:szCs w:val="28"/>
          <w:lang w:bidi="ar"/>
        </w:rPr>
        <w:t>1+N</w:t>
      </w:r>
      <w:r>
        <w:rPr>
          <w:rFonts w:hint="eastAsia" w:cs="Times New Roman" w:asciiTheme="minorEastAsia" w:hAnsiTheme="minorEastAsia"/>
          <w:sz w:val="28"/>
          <w:szCs w:val="28"/>
          <w:lang w:bidi="ar"/>
        </w:rPr>
        <w:t>”政策体系的基本框架，分析碳定价政策与工业、能源、交通、建筑、农业等碳达峰实施方案所涉领域，以及石化、化工、造纸、航空等拟扩围行业，在行业发展、能源消费、碳排放管理等方面的政策衔接，明确碳定价政策的作用边界；</w:t>
      </w:r>
    </w:p>
    <w:p w14:paraId="0AC6E8E6">
      <w:pPr>
        <w:pStyle w:val="25"/>
        <w:widowControl/>
        <w:numPr>
          <w:ilvl w:val="0"/>
          <w:numId w:val="3"/>
        </w:numPr>
        <w:spacing w:before="156" w:beforeLines="50" w:after="156" w:afterLines="50"/>
        <w:ind w:firstLineChars="0"/>
        <w:jc w:val="left"/>
        <w:rPr>
          <w:rFonts w:cs="Times New Roman" w:asciiTheme="minorEastAsia" w:hAnsiTheme="minorEastAsia"/>
          <w:sz w:val="28"/>
          <w:szCs w:val="28"/>
          <w:lang w:bidi="ar"/>
        </w:rPr>
      </w:pPr>
      <w:r>
        <w:rPr>
          <w:rFonts w:hint="eastAsia" w:cs="Times New Roman" w:asciiTheme="minorEastAsia" w:hAnsiTheme="minorEastAsia"/>
          <w:sz w:val="28"/>
          <w:szCs w:val="28"/>
          <w:lang w:bidi="ar"/>
        </w:rPr>
        <w:t>明确碳定价机制在推动行业减排目标实现过程中的政策杠杆效应与补充调节功能；</w:t>
      </w:r>
    </w:p>
    <w:p w14:paraId="530CBC1A">
      <w:pPr>
        <w:pStyle w:val="25"/>
        <w:widowControl/>
        <w:numPr>
          <w:ilvl w:val="0"/>
          <w:numId w:val="3"/>
        </w:numPr>
        <w:spacing w:before="156" w:beforeLines="50" w:after="156" w:afterLines="50"/>
        <w:ind w:firstLineChars="0"/>
        <w:jc w:val="left"/>
        <w:rPr>
          <w:rFonts w:cs="Times New Roman" w:asciiTheme="minorEastAsia" w:hAnsiTheme="minorEastAsia"/>
          <w:sz w:val="28"/>
          <w:szCs w:val="28"/>
        </w:rPr>
      </w:pPr>
      <w:r>
        <w:rPr>
          <w:rFonts w:hint="eastAsia" w:cs="Times New Roman" w:asciiTheme="minorEastAsia" w:hAnsiTheme="minorEastAsia"/>
          <w:sz w:val="28"/>
          <w:szCs w:val="28"/>
          <w:lang w:bidi="ar"/>
        </w:rPr>
        <w:t>识别碳定价政策在当前“</w:t>
      </w:r>
      <w:r>
        <w:rPr>
          <w:rFonts w:cs="Times New Roman" w:asciiTheme="minorEastAsia" w:hAnsiTheme="minorEastAsia"/>
          <w:sz w:val="28"/>
          <w:szCs w:val="28"/>
          <w:lang w:bidi="ar"/>
        </w:rPr>
        <w:t>1+N</w:t>
      </w:r>
      <w:r>
        <w:rPr>
          <w:rFonts w:hint="eastAsia" w:cs="Times New Roman" w:asciiTheme="minorEastAsia" w:hAnsiTheme="minorEastAsia"/>
          <w:sz w:val="28"/>
          <w:szCs w:val="28"/>
          <w:lang w:bidi="ar"/>
        </w:rPr>
        <w:t>”体系中定位的不足，分析为进一步发挥碳定价在推动深度脱碳中的核心作用，需要在政策定位、权责划分、协调机制等方面完成的调整与强化，开展前瞻性差距分析。</w:t>
      </w:r>
    </w:p>
    <w:p w14:paraId="530CBC1B">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3.2.2 </w:t>
      </w:r>
      <w:r>
        <w:rPr>
          <w:rFonts w:hint="eastAsia" w:cs="Times New Roman" w:asciiTheme="minorEastAsia" w:hAnsiTheme="minorEastAsia"/>
          <w:sz w:val="28"/>
          <w:szCs w:val="28"/>
        </w:rPr>
        <w:t>碳定价政策与重点行业经济发展相关政策的相互作用分析</w:t>
      </w:r>
    </w:p>
    <w:p w14:paraId="252C202C">
      <w:pPr>
        <w:widowControl/>
        <w:ind w:firstLine="560" w:firstLineChars="200"/>
        <w:jc w:val="left"/>
        <w:rPr>
          <w:rFonts w:cs="Times New Roman" w:asciiTheme="minorEastAsia" w:hAnsiTheme="minorEastAsia"/>
          <w:sz w:val="28"/>
          <w:szCs w:val="28"/>
        </w:rPr>
      </w:pPr>
      <w:r>
        <w:rPr>
          <w:rFonts w:hint="eastAsia" w:cs="Times New Roman" w:asciiTheme="minorEastAsia" w:hAnsiTheme="minorEastAsia"/>
          <w:sz w:val="28"/>
          <w:szCs w:val="28"/>
        </w:rPr>
        <w:t>在明确碳定价政策定位的基础上，本任务评估碳定价政策（</w:t>
      </w:r>
      <w:r>
        <w:rPr>
          <w:rFonts w:cs="Times New Roman" w:asciiTheme="minorEastAsia" w:hAnsiTheme="minorEastAsia"/>
          <w:sz w:val="28"/>
          <w:szCs w:val="28"/>
        </w:rPr>
        <w:t>ETS</w:t>
      </w:r>
      <w:r>
        <w:rPr>
          <w:rFonts w:hint="eastAsia" w:cs="Times New Roman" w:asciiTheme="minorEastAsia" w:hAnsiTheme="minorEastAsia"/>
          <w:sz w:val="28"/>
          <w:szCs w:val="28"/>
        </w:rPr>
        <w:t>、</w:t>
      </w:r>
      <w:r>
        <w:rPr>
          <w:rFonts w:cs="Times New Roman" w:asciiTheme="minorEastAsia" w:hAnsiTheme="minorEastAsia"/>
          <w:sz w:val="28"/>
          <w:szCs w:val="28"/>
        </w:rPr>
        <w:t>CCER</w:t>
      </w:r>
      <w:r>
        <w:rPr>
          <w:rFonts w:hint="eastAsia" w:cs="Times New Roman" w:asciiTheme="minorEastAsia" w:hAnsiTheme="minorEastAsia"/>
          <w:sz w:val="28"/>
          <w:szCs w:val="28"/>
        </w:rPr>
        <w:t>及碳税选项）与以下领域政策的相互作用，并识别现行政策组合在支持进一步深度脱碳方面的不足与缺口，编制《碳定价政策在经济发展相关政策中的作用分析报告》，内容包括但不限于：</w:t>
      </w:r>
    </w:p>
    <w:p w14:paraId="7AB7EEBE">
      <w:pPr>
        <w:pStyle w:val="25"/>
        <w:widowControl/>
        <w:numPr>
          <w:ilvl w:val="0"/>
          <w:numId w:val="4"/>
        </w:numPr>
        <w:spacing w:before="156" w:beforeLines="50" w:after="156" w:afterLines="50"/>
        <w:ind w:firstLineChars="0"/>
        <w:jc w:val="left"/>
        <w:rPr>
          <w:rFonts w:cs="Times New Roman" w:asciiTheme="minorEastAsia" w:hAnsiTheme="minorEastAsia"/>
          <w:sz w:val="28"/>
          <w:szCs w:val="28"/>
        </w:rPr>
      </w:pPr>
      <w:r>
        <w:rPr>
          <w:rFonts w:hint="eastAsia" w:cs="Times New Roman" w:asciiTheme="minorEastAsia" w:hAnsiTheme="minorEastAsia"/>
          <w:sz w:val="28"/>
          <w:szCs w:val="28"/>
        </w:rPr>
        <w:t>研究</w:t>
      </w:r>
      <w:r>
        <w:rPr>
          <w:rFonts w:cs="Times New Roman" w:asciiTheme="minorEastAsia" w:hAnsiTheme="minorEastAsia"/>
          <w:sz w:val="28"/>
          <w:szCs w:val="28"/>
        </w:rPr>
        <w:t>ETS</w:t>
      </w:r>
      <w:r>
        <w:rPr>
          <w:rFonts w:hint="eastAsia" w:cs="Times New Roman" w:asciiTheme="minorEastAsia" w:hAnsiTheme="minorEastAsia"/>
          <w:sz w:val="28"/>
          <w:szCs w:val="28"/>
        </w:rPr>
        <w:t>实施与电力市场改革、用能权交易机制、</w:t>
      </w:r>
      <w:r>
        <w:rPr>
          <w:rFonts w:hint="eastAsia" w:cs="Times New Roman" w:asciiTheme="minorEastAsia" w:hAnsiTheme="minorEastAsia"/>
          <w:color w:val="0F1115"/>
          <w:sz w:val="28"/>
          <w:szCs w:val="28"/>
          <w:shd w:val="clear" w:color="auto" w:fill="FFFFFF"/>
          <w:lang w:bidi="ar"/>
        </w:rPr>
        <w:t>可再生能源绿色电力证书</w:t>
      </w:r>
      <w:r>
        <w:rPr>
          <w:rFonts w:hint="eastAsia" w:cs="Times New Roman" w:asciiTheme="minorEastAsia" w:hAnsiTheme="minorEastAsia"/>
          <w:sz w:val="28"/>
          <w:szCs w:val="28"/>
        </w:rPr>
        <w:t>等政策及工具的协调关系；分析碳定价政策与钢铁、水泥、铝冶炼等已纳入行业及拟纳入ETS行业部门（石化、化工、造纸、航空等）行业</w:t>
      </w:r>
      <w:r>
        <w:rPr>
          <w:rFonts w:hint="eastAsia" w:cs="Times New Roman" w:asciiTheme="minorEastAsia" w:hAnsiTheme="minorEastAsia"/>
          <w:sz w:val="28"/>
          <w:szCs w:val="28"/>
        </w:rPr>
        <w:t>在产能治理、产业升级、绿色低碳技术应用等方面的政策协同；识别上述政策协调中的不足与障碍。</w:t>
      </w:r>
    </w:p>
    <w:p w14:paraId="1651C7DC">
      <w:pPr>
        <w:pStyle w:val="25"/>
        <w:widowControl/>
        <w:numPr>
          <w:ilvl w:val="0"/>
          <w:numId w:val="4"/>
        </w:numPr>
        <w:spacing w:before="156" w:beforeLines="50" w:after="156" w:afterLines="50"/>
        <w:ind w:firstLineChars="0"/>
        <w:jc w:val="left"/>
        <w:rPr>
          <w:rFonts w:cs="Times New Roman" w:asciiTheme="minorEastAsia" w:hAnsiTheme="minorEastAsia"/>
          <w:sz w:val="28"/>
          <w:szCs w:val="28"/>
        </w:rPr>
      </w:pPr>
      <w:r>
        <w:rPr>
          <w:rFonts w:hint="eastAsia" w:cs="Times New Roman" w:asciiTheme="minorEastAsia" w:hAnsiTheme="minorEastAsia"/>
          <w:sz w:val="28"/>
          <w:szCs w:val="28"/>
        </w:rPr>
        <w:t>结合“十五五”规划纲要中明确的重点行业发展方向（如新能源、新材料、绿色环保等战略性新兴产业），分析碳定价政策与这些重点行业发展的协同与衔接，识别碳定价在支持重点行业绿色转型中的作用潜力与政策缺口。</w:t>
      </w:r>
    </w:p>
    <w:p w14:paraId="093C0F8D">
      <w:pPr>
        <w:pStyle w:val="25"/>
        <w:widowControl/>
        <w:numPr>
          <w:ilvl w:val="0"/>
          <w:numId w:val="4"/>
        </w:numPr>
        <w:spacing w:before="156" w:beforeLines="50" w:after="156" w:afterLines="50"/>
        <w:ind w:firstLineChars="0"/>
        <w:jc w:val="left"/>
        <w:rPr>
          <w:rFonts w:cs="Times New Roman" w:asciiTheme="minorEastAsia" w:hAnsiTheme="minorEastAsia"/>
          <w:sz w:val="28"/>
          <w:szCs w:val="28"/>
        </w:rPr>
      </w:pPr>
      <w:r>
        <w:rPr>
          <w:rFonts w:hint="eastAsia" w:cs="Times New Roman" w:asciiTheme="minorEastAsia" w:hAnsiTheme="minorEastAsia"/>
          <w:sz w:val="28"/>
          <w:szCs w:val="28"/>
        </w:rPr>
        <w:t>研究碳定价政策与科技支撑、统计核算、财税政策（如环境税、低碳技术税收优惠或补贴）、绿色金融政策</w:t>
      </w:r>
      <w:r>
        <w:rPr>
          <w:rFonts w:hint="eastAsia" w:cs="Times New Roman" w:asciiTheme="minorEastAsia" w:hAnsiTheme="minorEastAsia"/>
          <w:sz w:val="28"/>
          <w:szCs w:val="28"/>
        </w:rPr>
        <w:t>等保障方案的协调机制。识别保障方案在支持碳定价有效性方面的不足，明确需要强化的领域。</w:t>
      </w:r>
    </w:p>
    <w:p w14:paraId="4EB53B8D">
      <w:pPr>
        <w:pStyle w:val="25"/>
        <w:widowControl/>
        <w:numPr>
          <w:ilvl w:val="0"/>
          <w:numId w:val="4"/>
        </w:numPr>
        <w:spacing w:before="156" w:beforeLines="50" w:after="156" w:afterLines="50"/>
        <w:ind w:firstLineChars="0"/>
        <w:jc w:val="left"/>
        <w:rPr>
          <w:rFonts w:cs="Times New Roman" w:asciiTheme="minorEastAsia" w:hAnsiTheme="minorEastAsia"/>
          <w:sz w:val="28"/>
          <w:szCs w:val="28"/>
        </w:rPr>
      </w:pPr>
      <w:r>
        <w:rPr>
          <w:rFonts w:hint="eastAsia" w:cs="Times New Roman" w:asciiTheme="minorEastAsia" w:hAnsiTheme="minorEastAsia"/>
          <w:sz w:val="28"/>
          <w:szCs w:val="28"/>
        </w:rPr>
        <w:t>研究碳税作为碳定价工具的政策选项，分析其与</w:t>
      </w:r>
      <w:r>
        <w:rPr>
          <w:rFonts w:cs="Times New Roman" w:asciiTheme="minorEastAsia" w:hAnsiTheme="minorEastAsia"/>
          <w:sz w:val="28"/>
          <w:szCs w:val="28"/>
        </w:rPr>
        <w:t>ETS</w:t>
      </w:r>
      <w:r>
        <w:rPr>
          <w:rFonts w:hint="eastAsia" w:cs="Times New Roman" w:asciiTheme="minorEastAsia" w:hAnsiTheme="minorEastAsia"/>
          <w:sz w:val="28"/>
          <w:szCs w:val="28"/>
        </w:rPr>
        <w:t>的相互关系及潜在影响。</w:t>
      </w:r>
    </w:p>
    <w:p w14:paraId="44B4A145">
      <w:pPr>
        <w:pStyle w:val="25"/>
        <w:widowControl/>
        <w:numPr>
          <w:ilvl w:val="0"/>
          <w:numId w:val="4"/>
        </w:numPr>
        <w:spacing w:before="156" w:beforeLines="50" w:after="156" w:afterLines="50"/>
        <w:ind w:firstLineChars="0"/>
        <w:jc w:val="left"/>
        <w:rPr>
          <w:rFonts w:cs="Times New Roman" w:asciiTheme="minorEastAsia" w:hAnsiTheme="minorEastAsia"/>
          <w:sz w:val="28"/>
          <w:szCs w:val="28"/>
        </w:rPr>
      </w:pPr>
      <w:r>
        <w:rPr>
          <w:rFonts w:hint="eastAsia" w:cs="Times New Roman" w:asciiTheme="minorEastAsia" w:hAnsiTheme="minorEastAsia"/>
          <w:sz w:val="28"/>
          <w:szCs w:val="28"/>
        </w:rPr>
        <w:t>梳理国际主要碳市场在碳定价政策与能源、产业、财税、金融等相关政策协调方面的实践经验，总结其制度设计、协调机制及实施效果，为中国完善政策跨部门协调提供国际经验借鉴。</w:t>
      </w:r>
    </w:p>
    <w:p w14:paraId="530CBC1D">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3.2.3 </w:t>
      </w:r>
      <w:r>
        <w:rPr>
          <w:rFonts w:hint="eastAsia" w:cs="Times New Roman" w:asciiTheme="minorEastAsia" w:hAnsiTheme="minorEastAsia"/>
          <w:sz w:val="28"/>
          <w:szCs w:val="28"/>
        </w:rPr>
        <w:t>碳定价对实现国家自主贡献目标及碳中和目标的贡献分析</w:t>
      </w:r>
    </w:p>
    <w:p w14:paraId="00C542DC">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识别全国</w:t>
      </w:r>
      <w:r>
        <w:rPr>
          <w:rFonts w:cs="Times New Roman" w:asciiTheme="minorEastAsia" w:hAnsiTheme="minorEastAsia"/>
          <w:sz w:val="28"/>
          <w:szCs w:val="28"/>
        </w:rPr>
        <w:t>ETS</w:t>
      </w:r>
      <w:r>
        <w:rPr>
          <w:rFonts w:hint="eastAsia" w:cs="Times New Roman" w:asciiTheme="minorEastAsia" w:hAnsiTheme="minorEastAsia"/>
          <w:sz w:val="28"/>
          <w:szCs w:val="28"/>
        </w:rPr>
        <w:t>的总体价格路径，研究碳价与减排之间的关系，评估碳定价政策对于中国实现</w:t>
      </w:r>
      <w:r>
        <w:rPr>
          <w:rFonts w:cs="Times New Roman" w:asciiTheme="minorEastAsia" w:hAnsiTheme="minorEastAsia"/>
          <w:sz w:val="28"/>
          <w:szCs w:val="28"/>
        </w:rPr>
        <w:t>NDC</w:t>
      </w:r>
      <w:r>
        <w:rPr>
          <w:rFonts w:hint="eastAsia" w:cs="Times New Roman" w:asciiTheme="minorEastAsia" w:hAnsiTheme="minorEastAsia"/>
          <w:sz w:val="28"/>
          <w:szCs w:val="28"/>
        </w:rPr>
        <w:t>目标及碳中和目标的潜在贡献，编制《碳定价对实现国家自主贡献目标及碳中和目标的贡献分析报告》。本任务与</w:t>
      </w:r>
      <w:r>
        <w:rPr>
          <w:rFonts w:cs="Times New Roman" w:asciiTheme="minorEastAsia" w:hAnsiTheme="minorEastAsia"/>
          <w:sz w:val="28"/>
          <w:szCs w:val="28"/>
        </w:rPr>
        <w:t>PMI-3</w:t>
      </w:r>
      <w:r>
        <w:rPr>
          <w:rFonts w:hint="eastAsia" w:cs="Times New Roman" w:asciiTheme="minorEastAsia" w:hAnsiTheme="minorEastAsia"/>
          <w:sz w:val="28"/>
          <w:szCs w:val="28"/>
        </w:rPr>
        <w:t>分包任务的分工为：</w:t>
      </w:r>
      <w:r>
        <w:rPr>
          <w:rFonts w:cs="Times New Roman" w:asciiTheme="minorEastAsia" w:hAnsiTheme="minorEastAsia"/>
          <w:sz w:val="28"/>
          <w:szCs w:val="28"/>
        </w:rPr>
        <w:t>PMI-3</w:t>
      </w:r>
      <w:r>
        <w:rPr>
          <w:rFonts w:hint="eastAsia" w:cs="Times New Roman" w:asciiTheme="minorEastAsia" w:hAnsiTheme="minorEastAsia"/>
          <w:sz w:val="28"/>
          <w:szCs w:val="28"/>
        </w:rPr>
        <w:t>侧重于</w:t>
      </w:r>
      <w:r>
        <w:rPr>
          <w:rFonts w:cs="Times New Roman" w:asciiTheme="minorEastAsia" w:hAnsiTheme="minorEastAsia"/>
          <w:sz w:val="28"/>
          <w:szCs w:val="28"/>
        </w:rPr>
        <w:t>ETS</w:t>
      </w:r>
      <w:r>
        <w:rPr>
          <w:rFonts w:hint="eastAsia" w:cs="Times New Roman" w:asciiTheme="minorEastAsia" w:hAnsiTheme="minorEastAsia"/>
          <w:sz w:val="28"/>
          <w:szCs w:val="28"/>
        </w:rPr>
        <w:t>总量控制目标设定、配额分配方式、基准值确定等市场内部机制的设计与优化；本任务在此基础上，从宏观战略层面评估碳定价政策对碳中和目标的贡献，分析碳价信号与减排量之间的宏观关系，不涉及</w:t>
      </w:r>
      <w:r>
        <w:rPr>
          <w:rFonts w:cs="Times New Roman" w:asciiTheme="minorEastAsia" w:hAnsiTheme="minorEastAsia"/>
          <w:sz w:val="28"/>
          <w:szCs w:val="28"/>
        </w:rPr>
        <w:t>ETS</w:t>
      </w:r>
      <w:r>
        <w:rPr>
          <w:rFonts w:hint="eastAsia" w:cs="Times New Roman" w:asciiTheme="minorEastAsia" w:hAnsiTheme="minorEastAsia"/>
          <w:sz w:val="28"/>
          <w:szCs w:val="28"/>
        </w:rPr>
        <w:t>总量控制目标的具体数值设定和配额分配方案的细节设计。内容包括但不限于：</w:t>
      </w:r>
    </w:p>
    <w:p w14:paraId="5771AB61">
      <w:pPr>
        <w:pStyle w:val="25"/>
        <w:numPr>
          <w:ilvl w:val="0"/>
          <w:numId w:val="5"/>
        </w:numPr>
        <w:spacing w:before="156" w:beforeLines="50" w:after="156" w:afterLines="50"/>
        <w:ind w:firstLineChars="0"/>
        <w:rPr>
          <w:rFonts w:eastAsia="仿宋" w:cs="Times New Roman" w:asciiTheme="minorEastAsia" w:hAnsiTheme="minorEastAsia"/>
          <w:sz w:val="28"/>
          <w:szCs w:val="28"/>
        </w:rPr>
      </w:pPr>
      <w:r>
        <w:rPr>
          <w:rFonts w:hint="eastAsia" w:cs="Times New Roman" w:asciiTheme="minorEastAsia" w:hAnsiTheme="minorEastAsia"/>
          <w:sz w:val="28"/>
          <w:szCs w:val="28"/>
        </w:rPr>
        <w:t>分析强制碳市场与自愿减排市场的相互关系，研究</w:t>
      </w:r>
      <w:r>
        <w:rPr>
          <w:rFonts w:cs="Times New Roman" w:asciiTheme="minorEastAsia" w:hAnsiTheme="minorEastAsia"/>
          <w:sz w:val="28"/>
          <w:szCs w:val="28"/>
        </w:rPr>
        <w:t>CCER</w:t>
      </w:r>
      <w:r>
        <w:rPr>
          <w:rFonts w:hint="eastAsia" w:cs="Times New Roman" w:asciiTheme="minorEastAsia" w:hAnsiTheme="minorEastAsia"/>
          <w:sz w:val="28"/>
          <w:szCs w:val="28"/>
        </w:rPr>
        <w:t>抵消机制在国家碳定价政策体系中的宏观功能，以及其对实现NDC</w:t>
      </w:r>
      <w:r>
        <w:rPr>
          <w:rFonts w:hint="eastAsia" w:cs="Times New Roman" w:asciiTheme="minorEastAsia" w:hAnsiTheme="minorEastAsia"/>
          <w:sz w:val="28"/>
          <w:szCs w:val="28"/>
        </w:rPr>
        <w:t>目标和碳中和目标</w:t>
      </w:r>
      <w:r>
        <w:rPr>
          <w:rFonts w:hint="eastAsia" w:cs="Times New Roman" w:asciiTheme="minorEastAsia" w:hAnsiTheme="minorEastAsia"/>
          <w:sz w:val="28"/>
          <w:szCs w:val="28"/>
        </w:rPr>
        <w:t>的贡献；</w:t>
      </w:r>
    </w:p>
    <w:p w14:paraId="4EB9809E">
      <w:pPr>
        <w:pStyle w:val="25"/>
        <w:numPr>
          <w:ilvl w:val="0"/>
          <w:numId w:val="5"/>
        </w:numPr>
        <w:spacing w:before="156" w:beforeLines="50" w:after="156" w:afterLines="50"/>
        <w:ind w:firstLineChars="0"/>
        <w:rPr>
          <w:rStyle w:val="15"/>
          <w:rFonts w:asciiTheme="minorEastAsia" w:hAnsiTheme="minorEastAsia"/>
        </w:rPr>
      </w:pPr>
      <w:r>
        <w:rPr>
          <w:rFonts w:hint="eastAsia" w:cs="Times New Roman" w:asciiTheme="minorEastAsia" w:hAnsiTheme="minorEastAsia"/>
          <w:sz w:val="28"/>
          <w:szCs w:val="28"/>
        </w:rPr>
        <w:t>分析全国</w:t>
      </w:r>
      <w:r>
        <w:rPr>
          <w:rFonts w:cs="Times New Roman" w:asciiTheme="minorEastAsia" w:hAnsiTheme="minorEastAsia"/>
          <w:sz w:val="28"/>
          <w:szCs w:val="28"/>
        </w:rPr>
        <w:t>ETS</w:t>
      </w:r>
      <w:r>
        <w:rPr>
          <w:rFonts w:hint="eastAsia" w:cs="Times New Roman" w:asciiTheme="minorEastAsia" w:hAnsiTheme="minorEastAsia"/>
          <w:sz w:val="28"/>
          <w:szCs w:val="28"/>
        </w:rPr>
        <w:t>价格的历史走势、波动因素及未来预测，研究市场价格信号在反映或影响配额供需及引导企业减排行为等方面的作用机理，探讨碳价水平变化对减排效果的影响在不同行业间的差异，系统评估碳定价政策实施对市场价格发现</w:t>
      </w:r>
      <w:r>
        <w:rPr>
          <w:rFonts w:asciiTheme="minorEastAsia" w:hAnsiTheme="minorEastAsia"/>
          <w:sz w:val="24"/>
          <w:vertAlign w:val="superscript"/>
        </w:rPr>
        <w:footnoteReference w:id="15"/>
      </w:r>
      <w:r>
        <w:rPr>
          <w:rFonts w:hint="eastAsia" w:cs="Times New Roman" w:asciiTheme="minorEastAsia" w:hAnsiTheme="minorEastAsia"/>
          <w:sz w:val="28"/>
          <w:szCs w:val="28"/>
        </w:rPr>
        <w:t>、配额供需关系和减排行为引导等的实际效果及贡献；</w:t>
      </w:r>
    </w:p>
    <w:p w14:paraId="5264F0DA">
      <w:pPr>
        <w:pStyle w:val="25"/>
        <w:numPr>
          <w:ilvl w:val="0"/>
          <w:numId w:val="5"/>
        </w:numPr>
        <w:spacing w:before="156" w:beforeLines="50" w:after="156" w:afterLines="50"/>
        <w:ind w:firstLineChars="0"/>
        <w:rPr>
          <w:rFonts w:cs="Times New Roman" w:asciiTheme="minorEastAsia" w:hAnsiTheme="minorEastAsia"/>
          <w:sz w:val="28"/>
          <w:szCs w:val="28"/>
        </w:rPr>
      </w:pPr>
      <w:r>
        <w:rPr>
          <w:rFonts w:hint="eastAsia" w:cs="Times New Roman" w:asciiTheme="minorEastAsia" w:hAnsiTheme="minorEastAsia"/>
          <w:sz w:val="28"/>
          <w:szCs w:val="28"/>
        </w:rPr>
        <w:t>梳理国际主要碳市场在碳价形成、碳价对减排贡献评估、碳中和路径规划等方面的实践经验，总结其分析方法、评估框架及政策应用。</w:t>
      </w:r>
    </w:p>
    <w:p w14:paraId="7F1A4D9C">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基于上述分析，识别碳定价政策在深度脱碳方面的贡献，分析为实现中国更新版</w:t>
      </w:r>
      <w:r>
        <w:rPr>
          <w:rFonts w:cs="Times New Roman" w:asciiTheme="minorEastAsia" w:hAnsiTheme="minorEastAsia"/>
          <w:sz w:val="28"/>
          <w:szCs w:val="28"/>
        </w:rPr>
        <w:t>NDC</w:t>
      </w:r>
      <w:r>
        <w:rPr>
          <w:rFonts w:hint="eastAsia" w:cs="Times New Roman" w:asciiTheme="minorEastAsia" w:hAnsiTheme="minorEastAsia"/>
          <w:sz w:val="28"/>
          <w:szCs w:val="28"/>
        </w:rPr>
        <w:t>目标以及</w:t>
      </w:r>
      <w:r>
        <w:rPr>
          <w:rFonts w:cs="Times New Roman" w:asciiTheme="minorEastAsia" w:hAnsiTheme="minorEastAsia"/>
          <w:sz w:val="28"/>
          <w:szCs w:val="28"/>
        </w:rPr>
        <w:t>2060</w:t>
      </w:r>
      <w:r>
        <w:rPr>
          <w:rFonts w:hint="eastAsia" w:cs="Times New Roman" w:asciiTheme="minorEastAsia" w:hAnsiTheme="minorEastAsia"/>
          <w:sz w:val="28"/>
          <w:szCs w:val="28"/>
        </w:rPr>
        <w:t>年碳中和宏观目标需关注的政策方向及可能的优化路径，开展前瞻性差距分析。</w:t>
      </w:r>
    </w:p>
    <w:p w14:paraId="530CBC1F">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3.2.4</w:t>
      </w:r>
      <w:r>
        <w:rPr>
          <w:rFonts w:hint="eastAsia" w:cs="Times New Roman" w:asciiTheme="minorEastAsia" w:hAnsiTheme="minorEastAsia"/>
          <w:sz w:val="28"/>
          <w:szCs w:val="28"/>
        </w:rPr>
        <w:t>加强跨部门政策协调的建议</w:t>
      </w:r>
    </w:p>
    <w:p w14:paraId="530CBC20">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基于上述分析，针对现行政策体系中需要加强协调衔接之处提出建议，内容包括但不限于：</w:t>
      </w:r>
    </w:p>
    <w:p w14:paraId="1E48E54B">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a. </w:t>
      </w:r>
      <w:r>
        <w:rPr>
          <w:rFonts w:hint="eastAsia" w:cs="Times New Roman" w:asciiTheme="minorEastAsia" w:hAnsiTheme="minorEastAsia"/>
          <w:sz w:val="28"/>
          <w:szCs w:val="28"/>
        </w:rPr>
        <w:t>围绕碳定价政策在“</w:t>
      </w:r>
      <w:r>
        <w:rPr>
          <w:rFonts w:cs="Times New Roman" w:asciiTheme="minorEastAsia" w:hAnsiTheme="minorEastAsia"/>
          <w:sz w:val="28"/>
          <w:szCs w:val="28"/>
        </w:rPr>
        <w:t>1+N</w:t>
      </w:r>
      <w:r>
        <w:rPr>
          <w:rFonts w:hint="eastAsia" w:cs="Times New Roman" w:asciiTheme="minorEastAsia" w:hAnsiTheme="minorEastAsia"/>
          <w:sz w:val="28"/>
          <w:szCs w:val="28"/>
        </w:rPr>
        <w:t>”政策体系中的定位，提出与工业、能源、交通、建筑、农业等领域碳达峰实施方案的衔接路径优化建议，以及在政策定位、权责划分、协调机制等方面的调整建议。</w:t>
      </w:r>
    </w:p>
    <w:p w14:paraId="530CBC23">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b. </w:t>
      </w:r>
      <w:r>
        <w:rPr>
          <w:rFonts w:hint="eastAsia" w:cs="Times New Roman" w:asciiTheme="minorEastAsia" w:hAnsiTheme="minorEastAsia"/>
          <w:sz w:val="28"/>
          <w:szCs w:val="28"/>
        </w:rPr>
        <w:t>碳定价政策与重点领域政策的协调建议。针对</w:t>
      </w:r>
      <w:r>
        <w:rPr>
          <w:rFonts w:cs="Times New Roman" w:asciiTheme="minorEastAsia" w:hAnsiTheme="minorEastAsia"/>
          <w:sz w:val="28"/>
          <w:szCs w:val="28"/>
        </w:rPr>
        <w:t>ETS</w:t>
      </w:r>
      <w:r>
        <w:rPr>
          <w:rFonts w:hint="eastAsia" w:cs="Times New Roman" w:asciiTheme="minorEastAsia" w:hAnsiTheme="minorEastAsia"/>
          <w:sz w:val="28"/>
          <w:szCs w:val="28"/>
        </w:rPr>
        <w:t>实施与电力市场改革、用能权交易机制、可再生能源绿色电力证书交易、已扩围的水泥、钢铁、铝冶炼行业和拟纳入</w:t>
      </w:r>
      <w:r>
        <w:rPr>
          <w:rFonts w:cs="Times New Roman" w:asciiTheme="minorEastAsia" w:hAnsiTheme="minorEastAsia"/>
          <w:sz w:val="28"/>
          <w:szCs w:val="28"/>
        </w:rPr>
        <w:t>ETS</w:t>
      </w:r>
      <w:r>
        <w:rPr>
          <w:rFonts w:hint="eastAsia" w:cs="Times New Roman" w:asciiTheme="minorEastAsia" w:hAnsiTheme="minorEastAsia"/>
          <w:sz w:val="28"/>
          <w:szCs w:val="28"/>
        </w:rPr>
        <w:t>行业（石化、化工、造纸、</w:t>
      </w:r>
      <w:r>
        <w:rPr>
          <w:rFonts w:hint="eastAsia" w:cs="Times New Roman" w:asciiTheme="minorEastAsia" w:hAnsiTheme="minorEastAsia"/>
          <w:sz w:val="28"/>
          <w:szCs w:val="28"/>
          <w:lang w:val="en-US" w:eastAsia="zh-CN"/>
        </w:rPr>
        <w:t>民航</w:t>
      </w:r>
      <w:bookmarkStart w:id="1" w:name="_GoBack"/>
      <w:bookmarkEnd w:id="1"/>
      <w:r>
        <w:rPr>
          <w:rFonts w:hint="eastAsia" w:cs="Times New Roman" w:asciiTheme="minorEastAsia" w:hAnsiTheme="minorEastAsia"/>
          <w:sz w:val="28"/>
          <w:szCs w:val="28"/>
        </w:rPr>
        <w:t>等）的发展政策，以及环境税、绿色金融、低碳技术税收优惠等政策的衔接关系，提出协调机制优化与协同路径完善建议</w:t>
      </w:r>
      <w:r>
        <w:rPr>
          <w:rFonts w:hint="eastAsia"/>
        </w:rPr>
        <w:t>。</w:t>
      </w:r>
    </w:p>
    <w:p w14:paraId="31E076FA">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c. </w:t>
      </w:r>
      <w:r>
        <w:rPr>
          <w:rFonts w:hint="eastAsia" w:cs="Times New Roman" w:asciiTheme="minorEastAsia" w:hAnsiTheme="minorEastAsia"/>
          <w:sz w:val="28"/>
          <w:szCs w:val="28"/>
        </w:rPr>
        <w:t>碳定价政策效果提升建议，基于碳价路径分析和减排效果评估，提出优化碳价信号传导、增强不同行业减排激励、提升碳定价政策整体减排效果的政策建议。</w:t>
      </w:r>
    </w:p>
    <w:p w14:paraId="530CBC27">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预计交付成果</w:t>
      </w:r>
    </w:p>
    <w:p w14:paraId="530CBC28">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本分包合同的交付成果包括：</w:t>
      </w:r>
    </w:p>
    <w:p w14:paraId="530CBC29">
      <w:pPr>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4.1 </w:t>
      </w:r>
      <w:r>
        <w:rPr>
          <w:rFonts w:hint="eastAsia" w:cs="Times New Roman" w:asciiTheme="minorEastAsia" w:hAnsiTheme="minorEastAsia"/>
          <w:sz w:val="28"/>
          <w:szCs w:val="28"/>
        </w:rPr>
        <w:t>《碳定价政策在“</w:t>
      </w:r>
      <w:r>
        <w:rPr>
          <w:rFonts w:cs="Times New Roman" w:asciiTheme="minorEastAsia" w:hAnsiTheme="minorEastAsia"/>
          <w:sz w:val="28"/>
          <w:szCs w:val="28"/>
        </w:rPr>
        <w:t>1+N</w:t>
      </w:r>
      <w:r>
        <w:rPr>
          <w:rFonts w:hint="eastAsia" w:cs="Times New Roman" w:asciiTheme="minorEastAsia" w:hAnsiTheme="minorEastAsia"/>
          <w:sz w:val="28"/>
          <w:szCs w:val="28"/>
        </w:rPr>
        <w:t>”政策体系中的定位分析报告》</w:t>
      </w:r>
    </w:p>
    <w:p w14:paraId="530CBC2A">
      <w:pPr>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4.2 </w:t>
      </w:r>
      <w:r>
        <w:rPr>
          <w:rFonts w:hint="eastAsia" w:cs="Times New Roman" w:asciiTheme="minorEastAsia" w:hAnsiTheme="minorEastAsia"/>
          <w:sz w:val="28"/>
          <w:szCs w:val="28"/>
        </w:rPr>
        <w:t>《碳定价政策在经济发展相关政策中的作用分析报告》</w:t>
      </w:r>
    </w:p>
    <w:p w14:paraId="530CBC2B">
      <w:pPr>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4.3 </w:t>
      </w:r>
      <w:r>
        <w:rPr>
          <w:rFonts w:hint="eastAsia" w:cs="Times New Roman" w:asciiTheme="minorEastAsia" w:hAnsiTheme="minorEastAsia"/>
          <w:sz w:val="28"/>
          <w:szCs w:val="28"/>
        </w:rPr>
        <w:t>《碳定价对实现国家自主贡献目标及碳中和目标的贡献分析报告》</w:t>
      </w:r>
      <w:r>
        <w:rPr>
          <w:rFonts w:hint="eastAsia" w:cs="Times New Roman" w:asciiTheme="minorEastAsia" w:hAnsiTheme="minorEastAsia"/>
          <w:i/>
          <w:iCs/>
          <w:sz w:val="28"/>
          <w:szCs w:val="28"/>
        </w:rPr>
        <w:t>——本成果应基于</w:t>
      </w:r>
      <w:r>
        <w:rPr>
          <w:rFonts w:cs="Times New Roman" w:asciiTheme="minorEastAsia" w:hAnsiTheme="minorEastAsia"/>
          <w:i/>
          <w:iCs/>
          <w:sz w:val="28"/>
          <w:szCs w:val="28"/>
        </w:rPr>
        <w:t>PMI-3</w:t>
      </w:r>
      <w:r>
        <w:rPr>
          <w:rFonts w:hint="eastAsia" w:cs="Times New Roman" w:asciiTheme="minorEastAsia" w:hAnsiTheme="minorEastAsia"/>
          <w:i/>
          <w:iCs/>
          <w:sz w:val="28"/>
          <w:szCs w:val="28"/>
        </w:rPr>
        <w:t>、</w:t>
      </w:r>
      <w:r>
        <w:rPr>
          <w:rFonts w:cs="Times New Roman" w:asciiTheme="minorEastAsia" w:hAnsiTheme="minorEastAsia"/>
          <w:i/>
          <w:iCs/>
          <w:sz w:val="28"/>
          <w:szCs w:val="28"/>
        </w:rPr>
        <w:t>PMI-15</w:t>
      </w:r>
      <w:r>
        <w:rPr>
          <w:rFonts w:hint="eastAsia" w:cs="Times New Roman" w:asciiTheme="minorEastAsia" w:hAnsiTheme="minorEastAsia"/>
          <w:i/>
          <w:iCs/>
          <w:sz w:val="28"/>
          <w:szCs w:val="28"/>
        </w:rPr>
        <w:t>、</w:t>
      </w:r>
      <w:r>
        <w:rPr>
          <w:rFonts w:cs="Times New Roman" w:asciiTheme="minorEastAsia" w:hAnsiTheme="minorEastAsia"/>
          <w:i/>
          <w:iCs/>
          <w:sz w:val="28"/>
          <w:szCs w:val="28"/>
        </w:rPr>
        <w:t>PMI-16</w:t>
      </w:r>
      <w:r>
        <w:rPr>
          <w:rFonts w:hint="eastAsia" w:cs="Times New Roman" w:asciiTheme="minorEastAsia" w:hAnsiTheme="minorEastAsia"/>
          <w:i/>
          <w:iCs/>
          <w:sz w:val="28"/>
          <w:szCs w:val="28"/>
        </w:rPr>
        <w:t>等分包的定量分析成果，形成碳定价对碳中和贡献的半定量或集成性定量评估结论，避免仅作定性描述。</w:t>
      </w:r>
    </w:p>
    <w:p w14:paraId="5D2C32A1">
      <w:pPr>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4.4 </w:t>
      </w:r>
      <w:r>
        <w:rPr>
          <w:rFonts w:hint="eastAsia" w:cs="Times New Roman" w:asciiTheme="minorEastAsia" w:hAnsiTheme="minorEastAsia"/>
          <w:sz w:val="28"/>
          <w:szCs w:val="28"/>
        </w:rPr>
        <w:t>《加强跨部门政策协调建议报告》</w:t>
      </w:r>
    </w:p>
    <w:p w14:paraId="126C3832">
      <w:pPr>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4.5 </w:t>
      </w:r>
      <w:r>
        <w:rPr>
          <w:rFonts w:hint="eastAsia" w:cs="Times New Roman" w:asciiTheme="minorEastAsia" w:hAnsiTheme="minorEastAsia"/>
          <w:sz w:val="28"/>
          <w:szCs w:val="28"/>
        </w:rPr>
        <w:t>《关于碳定价机制与国家级气候战略协调统一的建议性监管框架和政策建议》</w:t>
      </w:r>
      <w:r>
        <w:rPr>
          <w:rFonts w:hint="eastAsia" w:cs="Times New Roman" w:asciiTheme="minorEastAsia" w:hAnsiTheme="minorEastAsia"/>
          <w:i/>
          <w:iCs/>
          <w:sz w:val="28"/>
          <w:szCs w:val="28"/>
        </w:rPr>
        <w:t>——本成果应基于上述的报告内容，同时应统筹</w:t>
      </w:r>
      <w:r>
        <w:rPr>
          <w:rFonts w:cs="Times New Roman" w:asciiTheme="minorEastAsia" w:hAnsiTheme="minorEastAsia"/>
          <w:i/>
          <w:iCs/>
          <w:sz w:val="28"/>
          <w:szCs w:val="28"/>
        </w:rPr>
        <w:t>PMI-2</w:t>
      </w:r>
      <w:r>
        <w:rPr>
          <w:rFonts w:hint="eastAsia" w:cs="Times New Roman" w:asciiTheme="minorEastAsia" w:hAnsiTheme="minorEastAsia"/>
          <w:i/>
          <w:iCs/>
          <w:sz w:val="28"/>
          <w:szCs w:val="28"/>
        </w:rPr>
        <w:t>（关于完善碳定价监管框架的建议）的成果，形成呈报给生态环境部部长的综合报告，即项目文件所设定的项目发展目标（</w:t>
      </w:r>
      <w:r>
        <w:rPr>
          <w:rFonts w:cs="Times New Roman" w:asciiTheme="minorEastAsia" w:hAnsiTheme="minorEastAsia"/>
          <w:i/>
          <w:iCs/>
          <w:sz w:val="28"/>
          <w:szCs w:val="28"/>
        </w:rPr>
        <w:t>PDO</w:t>
      </w:r>
      <w:r>
        <w:rPr>
          <w:rFonts w:hint="eastAsia" w:cs="Times New Roman" w:asciiTheme="minorEastAsia" w:hAnsiTheme="minorEastAsia"/>
          <w:i/>
          <w:iCs/>
          <w:sz w:val="28"/>
          <w:szCs w:val="28"/>
        </w:rPr>
        <w:t>）指标</w:t>
      </w:r>
      <w:r>
        <w:rPr>
          <w:rFonts w:cs="Times New Roman" w:asciiTheme="minorEastAsia" w:hAnsiTheme="minorEastAsia"/>
          <w:i/>
          <w:iCs/>
          <w:sz w:val="28"/>
          <w:szCs w:val="28"/>
        </w:rPr>
        <w:t>1</w:t>
      </w:r>
      <w:r>
        <w:rPr>
          <w:rStyle w:val="16"/>
          <w:rFonts w:cs="Times New Roman" w:asciiTheme="minorEastAsia" w:hAnsiTheme="minorEastAsia"/>
          <w:i/>
          <w:iCs/>
          <w:sz w:val="28"/>
          <w:szCs w:val="28"/>
        </w:rPr>
        <w:footnoteReference w:id="16"/>
      </w:r>
      <w:r>
        <w:rPr>
          <w:rFonts w:hint="eastAsia" w:cs="Times New Roman" w:asciiTheme="minorEastAsia" w:hAnsiTheme="minorEastAsia"/>
          <w:sz w:val="28"/>
          <w:szCs w:val="28"/>
        </w:rPr>
        <w:t>。</w:t>
      </w:r>
    </w:p>
    <w:p w14:paraId="4BAEB3C0">
      <w:pPr>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本分包成果需兼顾</w:t>
      </w:r>
      <w:r>
        <w:rPr>
          <w:rFonts w:cs="Times New Roman" w:asciiTheme="minorEastAsia" w:hAnsiTheme="minorEastAsia"/>
          <w:sz w:val="28"/>
          <w:szCs w:val="28"/>
        </w:rPr>
        <w:t>PMI-2</w:t>
      </w:r>
      <w:r>
        <w:rPr>
          <w:rFonts w:hint="eastAsia" w:cs="Times New Roman" w:asciiTheme="minorEastAsia" w:hAnsiTheme="minorEastAsia"/>
          <w:sz w:val="28"/>
          <w:szCs w:val="28"/>
        </w:rPr>
        <w:t>、</w:t>
      </w:r>
      <w:r>
        <w:rPr>
          <w:rFonts w:cs="Times New Roman" w:asciiTheme="minorEastAsia" w:hAnsiTheme="minorEastAsia"/>
          <w:sz w:val="28"/>
          <w:szCs w:val="28"/>
        </w:rPr>
        <w:t>PMI-3</w:t>
      </w:r>
      <w:r>
        <w:rPr>
          <w:rFonts w:hint="eastAsia" w:cs="Times New Roman" w:asciiTheme="minorEastAsia" w:hAnsiTheme="minorEastAsia"/>
          <w:sz w:val="28"/>
          <w:szCs w:val="28"/>
        </w:rPr>
        <w:t>、</w:t>
      </w:r>
      <w:r>
        <w:rPr>
          <w:rFonts w:cs="Times New Roman" w:asciiTheme="minorEastAsia" w:hAnsiTheme="minorEastAsia"/>
          <w:sz w:val="28"/>
          <w:szCs w:val="28"/>
        </w:rPr>
        <w:t>PMI-4</w:t>
      </w:r>
      <w:r>
        <w:rPr>
          <w:rFonts w:hint="eastAsia" w:cs="Times New Roman" w:asciiTheme="minorEastAsia" w:hAnsiTheme="minorEastAsia"/>
          <w:sz w:val="28"/>
          <w:szCs w:val="28"/>
        </w:rPr>
        <w:t>、</w:t>
      </w:r>
      <w:r>
        <w:rPr>
          <w:rFonts w:cs="Times New Roman" w:asciiTheme="minorEastAsia" w:hAnsiTheme="minorEastAsia"/>
          <w:sz w:val="28"/>
          <w:szCs w:val="28"/>
        </w:rPr>
        <w:t>PMI-15</w:t>
      </w:r>
      <w:r>
        <w:rPr>
          <w:rFonts w:hint="eastAsia" w:cs="Times New Roman" w:asciiTheme="minorEastAsia" w:hAnsiTheme="minorEastAsia"/>
          <w:sz w:val="28"/>
          <w:szCs w:val="28"/>
        </w:rPr>
        <w:t>、</w:t>
      </w:r>
      <w:r>
        <w:rPr>
          <w:rFonts w:cs="Times New Roman" w:asciiTheme="minorEastAsia" w:hAnsiTheme="minorEastAsia"/>
          <w:sz w:val="28"/>
          <w:szCs w:val="28"/>
        </w:rPr>
        <w:t>PMI-16</w:t>
      </w:r>
      <w:r>
        <w:rPr>
          <w:rFonts w:hint="eastAsia" w:cs="Times New Roman" w:asciiTheme="minorEastAsia" w:hAnsiTheme="minorEastAsia"/>
          <w:sz w:val="28"/>
          <w:szCs w:val="28"/>
        </w:rPr>
        <w:t>、</w:t>
      </w:r>
      <w:r>
        <w:rPr>
          <w:rFonts w:cs="Times New Roman" w:asciiTheme="minorEastAsia" w:hAnsiTheme="minorEastAsia"/>
          <w:sz w:val="28"/>
          <w:szCs w:val="28"/>
        </w:rPr>
        <w:t>PMI-22</w:t>
      </w:r>
      <w:r>
        <w:rPr>
          <w:rFonts w:hint="eastAsia" w:cs="Times New Roman" w:asciiTheme="minorEastAsia" w:hAnsiTheme="minorEastAsia"/>
          <w:sz w:val="28"/>
          <w:szCs w:val="28"/>
        </w:rPr>
        <w:t>等相关分包任务的研究成果，识别与</w:t>
      </w:r>
      <w:r>
        <w:rPr>
          <w:rFonts w:cs="Times New Roman" w:asciiTheme="minorEastAsia" w:hAnsiTheme="minorEastAsia"/>
          <w:sz w:val="28"/>
          <w:szCs w:val="28"/>
        </w:rPr>
        <w:t>PMI-1</w:t>
      </w:r>
      <w:r>
        <w:rPr>
          <w:rFonts w:hint="eastAsia" w:cs="Times New Roman" w:asciiTheme="minorEastAsia" w:hAnsiTheme="minorEastAsia"/>
          <w:sz w:val="28"/>
          <w:szCs w:val="28"/>
        </w:rPr>
        <w:t>研究内容的关联性和一致性，并在</w:t>
      </w:r>
      <w:r>
        <w:rPr>
          <w:rFonts w:cs="Times New Roman" w:asciiTheme="minorEastAsia" w:hAnsiTheme="minorEastAsia"/>
          <w:sz w:val="28"/>
          <w:szCs w:val="28"/>
        </w:rPr>
        <w:t>PMI-1</w:t>
      </w:r>
      <w:r>
        <w:rPr>
          <w:rFonts w:hint="eastAsia" w:cs="Times New Roman" w:asciiTheme="minorEastAsia" w:hAnsiTheme="minorEastAsia"/>
          <w:sz w:val="28"/>
          <w:szCs w:val="28"/>
        </w:rPr>
        <w:t>的总体分析框架下进行综合集成，确保项目文件所设定的项目发展目标（</w:t>
      </w:r>
      <w:r>
        <w:rPr>
          <w:rFonts w:cs="Times New Roman" w:asciiTheme="minorEastAsia" w:hAnsiTheme="minorEastAsia"/>
          <w:sz w:val="28"/>
          <w:szCs w:val="28"/>
        </w:rPr>
        <w:t>PDO</w:t>
      </w:r>
      <w:r>
        <w:rPr>
          <w:rFonts w:hint="eastAsia" w:cs="Times New Roman" w:asciiTheme="minorEastAsia" w:hAnsiTheme="minorEastAsia"/>
          <w:sz w:val="28"/>
          <w:szCs w:val="28"/>
        </w:rPr>
        <w:t>）指标</w:t>
      </w:r>
      <w:r>
        <w:rPr>
          <w:rFonts w:cs="Times New Roman" w:asciiTheme="minorEastAsia" w:hAnsiTheme="minorEastAsia"/>
          <w:sz w:val="28"/>
          <w:szCs w:val="28"/>
        </w:rPr>
        <w:t>1</w:t>
      </w:r>
      <w:r>
        <w:rPr>
          <w:rFonts w:hint="eastAsia" w:cs="Times New Roman" w:asciiTheme="minorEastAsia" w:hAnsiTheme="minorEastAsia"/>
          <w:sz w:val="28"/>
          <w:szCs w:val="28"/>
        </w:rPr>
        <w:t>所要求的整体性政策建议能够充分吸纳各专项研究的结论。</w:t>
      </w:r>
    </w:p>
    <w:p w14:paraId="4D90101D">
      <w:pPr>
        <w:widowControl/>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本分包合同所有交付成果均须以中英文双语形式提交，如表述出现不一致或矛盾，以中文为准。</w:t>
      </w:r>
    </w:p>
    <w:p w14:paraId="78958C72">
      <w:pPr>
        <w:widowControl/>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本分包合同所有交付成果应与相关利益方进行磋商，并形成磋商纪要，至少包括：人员、内容及照片。</w:t>
      </w:r>
    </w:p>
    <w:p w14:paraId="530CBC2F">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最终交付成果应与生态环境部、财政部等相关政府部门，以及行业代表、学术专家等利益相关方进行磋商，并将磋商结果纳入报告，确保决策过程中充分考量各方意见和专业知识。</w:t>
      </w:r>
    </w:p>
    <w:p w14:paraId="530CBC30">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本分包合同的交付成果将为实现以下项目发展目标（</w:t>
      </w:r>
      <w:r>
        <w:rPr>
          <w:rFonts w:cs="Times New Roman" w:asciiTheme="minorEastAsia" w:hAnsiTheme="minorEastAsia"/>
          <w:sz w:val="28"/>
          <w:szCs w:val="28"/>
        </w:rPr>
        <w:t>PDO</w:t>
      </w:r>
      <w:r>
        <w:rPr>
          <w:rFonts w:hint="eastAsia" w:cs="Times New Roman" w:asciiTheme="minorEastAsia" w:hAnsiTheme="minorEastAsia"/>
          <w:sz w:val="28"/>
          <w:szCs w:val="28"/>
        </w:rPr>
        <w:t>）及中期指标作出贡献：</w:t>
      </w:r>
    </w:p>
    <w:tbl>
      <w:tblPr>
        <w:tblStyle w:val="1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87"/>
        <w:gridCol w:w="4915"/>
        <w:gridCol w:w="1741"/>
      </w:tblGrid>
      <w:tr w14:paraId="530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1787" w:type="dxa"/>
            <w:tcMar>
              <w:left w:w="108" w:type="dxa"/>
              <w:right w:w="108" w:type="dxa"/>
            </w:tcMar>
            <w:vAlign w:val="center"/>
          </w:tcPr>
          <w:p w14:paraId="530CBC31">
            <w:pPr>
              <w:jc w:val="center"/>
              <w:rPr>
                <w:rFonts w:cs="Times New Roman" w:asciiTheme="minorEastAsia" w:hAnsiTheme="minorEastAsia"/>
                <w:b/>
                <w:sz w:val="24"/>
              </w:rPr>
            </w:pPr>
            <w:r>
              <w:rPr>
                <w:rFonts w:hint="eastAsia" w:cs="Times New Roman" w:asciiTheme="minorEastAsia" w:hAnsiTheme="minorEastAsia"/>
                <w:b/>
                <w:sz w:val="24"/>
              </w:rPr>
              <w:t>预期交付成果</w:t>
            </w:r>
          </w:p>
        </w:tc>
        <w:tc>
          <w:tcPr>
            <w:tcW w:w="4915" w:type="dxa"/>
            <w:tcMar>
              <w:left w:w="108" w:type="dxa"/>
              <w:right w:w="108" w:type="dxa"/>
            </w:tcMar>
            <w:vAlign w:val="center"/>
          </w:tcPr>
          <w:p w14:paraId="530CBC32">
            <w:pPr>
              <w:jc w:val="center"/>
              <w:rPr>
                <w:rFonts w:cs="Times New Roman" w:asciiTheme="minorEastAsia" w:hAnsiTheme="minorEastAsia"/>
                <w:b/>
                <w:sz w:val="24"/>
              </w:rPr>
            </w:pPr>
            <w:r>
              <w:rPr>
                <w:rFonts w:hint="eastAsia" w:cs="Times New Roman" w:asciiTheme="minorEastAsia" w:hAnsiTheme="minorEastAsia"/>
                <w:b/>
                <w:sz w:val="24"/>
              </w:rPr>
              <w:t>指标</w:t>
            </w:r>
          </w:p>
        </w:tc>
        <w:tc>
          <w:tcPr>
            <w:tcW w:w="1741" w:type="dxa"/>
            <w:tcMar>
              <w:left w:w="108" w:type="dxa"/>
              <w:right w:w="108" w:type="dxa"/>
            </w:tcMar>
            <w:vAlign w:val="center"/>
          </w:tcPr>
          <w:p w14:paraId="530CBC33">
            <w:pPr>
              <w:jc w:val="center"/>
              <w:rPr>
                <w:rFonts w:cs="Times New Roman" w:asciiTheme="minorEastAsia" w:hAnsiTheme="minorEastAsia"/>
                <w:b/>
                <w:sz w:val="24"/>
              </w:rPr>
            </w:pPr>
            <w:r>
              <w:rPr>
                <w:rFonts w:hint="eastAsia" w:cs="Times New Roman" w:asciiTheme="minorEastAsia" w:hAnsiTheme="minorEastAsia"/>
                <w:b/>
                <w:sz w:val="24"/>
              </w:rPr>
              <w:t>贡献类型</w:t>
            </w:r>
          </w:p>
        </w:tc>
      </w:tr>
      <w:tr w14:paraId="530C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6" w:hRule="atLeast"/>
        </w:trPr>
        <w:tc>
          <w:tcPr>
            <w:tcW w:w="1787" w:type="dxa"/>
            <w:tcMar>
              <w:left w:w="108" w:type="dxa"/>
              <w:right w:w="108" w:type="dxa"/>
            </w:tcMar>
            <w:vAlign w:val="center"/>
          </w:tcPr>
          <w:p w14:paraId="530CBC35">
            <w:pPr>
              <w:rPr>
                <w:rFonts w:cs="Times New Roman" w:asciiTheme="minorEastAsia" w:hAnsiTheme="minorEastAsia"/>
                <w:sz w:val="24"/>
              </w:rPr>
            </w:pPr>
            <w:r>
              <w:rPr>
                <w:rFonts w:hint="eastAsia" w:cs="Times New Roman" w:asciiTheme="minorEastAsia" w:hAnsiTheme="minorEastAsia"/>
                <w:sz w:val="24"/>
              </w:rPr>
              <w:t>交付成果</w:t>
            </w:r>
            <w:r>
              <w:rPr>
                <w:rFonts w:cs="Times New Roman" w:asciiTheme="minorEastAsia" w:hAnsiTheme="minorEastAsia"/>
                <w:sz w:val="24"/>
              </w:rPr>
              <w:t xml:space="preserve"> 4.5</w:t>
            </w:r>
          </w:p>
        </w:tc>
        <w:tc>
          <w:tcPr>
            <w:tcW w:w="4915" w:type="dxa"/>
            <w:tcMar>
              <w:left w:w="108" w:type="dxa"/>
              <w:right w:w="108" w:type="dxa"/>
            </w:tcMar>
            <w:vAlign w:val="center"/>
          </w:tcPr>
          <w:p w14:paraId="20A96428">
            <w:pPr>
              <w:rPr>
                <w:rFonts w:cs="Times New Roman" w:asciiTheme="minorEastAsia" w:hAnsiTheme="minorEastAsia"/>
                <w:sz w:val="24"/>
              </w:rPr>
            </w:pPr>
            <w:r>
              <w:rPr>
                <w:rFonts w:hint="eastAsia" w:cs="Times New Roman" w:asciiTheme="minorEastAsia" w:hAnsiTheme="minorEastAsia"/>
                <w:sz w:val="24"/>
              </w:rPr>
              <w:t>项目文件</w:t>
            </w:r>
            <w:r>
              <w:rPr>
                <w:rFonts w:cs="Times New Roman" w:asciiTheme="minorEastAsia" w:hAnsiTheme="minorEastAsia"/>
                <w:sz w:val="24"/>
              </w:rPr>
              <w:t>PDO</w:t>
            </w:r>
            <w:r>
              <w:rPr>
                <w:rFonts w:hint="eastAsia" w:cs="Times New Roman" w:asciiTheme="minorEastAsia" w:hAnsiTheme="minorEastAsia"/>
                <w:sz w:val="24"/>
              </w:rPr>
              <w:t>指标</w:t>
            </w:r>
            <w:r>
              <w:rPr>
                <w:rFonts w:cs="Times New Roman" w:asciiTheme="minorEastAsia" w:hAnsiTheme="minorEastAsia"/>
                <w:sz w:val="24"/>
              </w:rPr>
              <w:t>1——</w:t>
            </w:r>
            <w:r>
              <w:rPr>
                <w:rFonts w:hint="eastAsia" w:cs="Times New Roman" w:asciiTheme="minorEastAsia" w:hAnsiTheme="minorEastAsia"/>
                <w:sz w:val="24"/>
              </w:rPr>
              <w:t>关于碳定价机制与国家级气候战略协调统一的建议性监管框架和政策建议被提交至生态环境部部领导。</w:t>
            </w:r>
          </w:p>
        </w:tc>
        <w:tc>
          <w:tcPr>
            <w:tcW w:w="1741" w:type="dxa"/>
            <w:tcMar>
              <w:left w:w="108" w:type="dxa"/>
              <w:right w:w="108" w:type="dxa"/>
            </w:tcMar>
            <w:vAlign w:val="center"/>
          </w:tcPr>
          <w:p w14:paraId="4C02D171">
            <w:pPr>
              <w:jc w:val="center"/>
              <w:rPr>
                <w:rFonts w:cs="Times New Roman" w:asciiTheme="minorEastAsia" w:hAnsiTheme="minorEastAsia"/>
                <w:sz w:val="24"/>
              </w:rPr>
            </w:pPr>
            <w:r>
              <w:rPr>
                <w:rFonts w:hint="eastAsia" w:cs="Times New Roman" w:asciiTheme="minorEastAsia" w:hAnsiTheme="minorEastAsia"/>
                <w:sz w:val="24"/>
              </w:rPr>
              <w:t>直接贡献</w:t>
            </w:r>
          </w:p>
        </w:tc>
      </w:tr>
    </w:tbl>
    <w:p w14:paraId="530CBC3D">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付款条件及进度安排</w:t>
      </w:r>
    </w:p>
    <w:p w14:paraId="530CBC3E">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本分包合同的主要任务应在</w:t>
      </w:r>
      <w:r>
        <w:rPr>
          <w:rFonts w:cs="Times New Roman" w:asciiTheme="minorEastAsia" w:hAnsiTheme="minorEastAsia"/>
          <w:sz w:val="28"/>
          <w:szCs w:val="28"/>
        </w:rPr>
        <w:t>12</w:t>
      </w:r>
      <w:r>
        <w:rPr>
          <w:rFonts w:hint="eastAsia" w:cs="Times New Roman" w:asciiTheme="minorEastAsia" w:hAnsiTheme="minorEastAsia"/>
          <w:sz w:val="28"/>
          <w:szCs w:val="28"/>
        </w:rPr>
        <w:t>个月内完成。为确保交付成果的质量，分包合同承担单位应秉持积极的协作精神，根据</w:t>
      </w:r>
      <w:r>
        <w:rPr>
          <w:rFonts w:cs="Times New Roman" w:asciiTheme="minorEastAsia" w:hAnsiTheme="minorEastAsia"/>
          <w:sz w:val="28"/>
          <w:szCs w:val="28"/>
        </w:rPr>
        <w:t>PMO</w:t>
      </w:r>
      <w:r>
        <w:rPr>
          <w:rFonts w:hint="eastAsia" w:cs="Times New Roman" w:asciiTheme="minorEastAsia" w:hAnsiTheme="minorEastAsia"/>
          <w:sz w:val="28"/>
          <w:szCs w:val="28"/>
        </w:rPr>
        <w:t>的要求，对交付成果进行更新、完善与优化，并提供相关技术支持，直至</w:t>
      </w:r>
      <w:r>
        <w:rPr>
          <w:rFonts w:cs="Times New Roman" w:asciiTheme="minorEastAsia" w:hAnsiTheme="minorEastAsia"/>
          <w:sz w:val="28"/>
          <w:szCs w:val="28"/>
        </w:rPr>
        <w:t>2028</w:t>
      </w:r>
      <w:r>
        <w:rPr>
          <w:rFonts w:hint="eastAsia" w:cs="Times New Roman" w:asciiTheme="minorEastAsia" w:hAnsiTheme="minorEastAsia"/>
          <w:sz w:val="28"/>
          <w:szCs w:val="28"/>
        </w:rPr>
        <w:t>年</w:t>
      </w:r>
      <w:r>
        <w:rPr>
          <w:rFonts w:cs="Times New Roman" w:asciiTheme="minorEastAsia" w:hAnsiTheme="minorEastAsia"/>
          <w:sz w:val="28"/>
          <w:szCs w:val="28"/>
        </w:rPr>
        <w:t>12</w:t>
      </w:r>
      <w:r>
        <w:rPr>
          <w:rFonts w:hint="eastAsia" w:cs="Times New Roman" w:asciiTheme="minorEastAsia" w:hAnsiTheme="minorEastAsia"/>
          <w:sz w:val="28"/>
          <w:szCs w:val="28"/>
        </w:rPr>
        <w:t>月底。</w:t>
      </w:r>
    </w:p>
    <w:p w14:paraId="530CBC3F">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本分包合同的款项将分为</w:t>
      </w:r>
      <w:r>
        <w:rPr>
          <w:rFonts w:cs="Times New Roman" w:asciiTheme="minorEastAsia" w:hAnsiTheme="minorEastAsia"/>
          <w:sz w:val="28"/>
          <w:szCs w:val="28"/>
        </w:rPr>
        <w:t>4</w:t>
      </w:r>
      <w:r>
        <w:rPr>
          <w:rFonts w:hint="eastAsia" w:cs="Times New Roman" w:asciiTheme="minorEastAsia" w:hAnsiTheme="minorEastAsia"/>
          <w:sz w:val="28"/>
          <w:szCs w:val="28"/>
        </w:rPr>
        <w:t>笔支付。承担单位在提交下表中各期付款所要求的全部文件，且文件经</w:t>
      </w:r>
      <w:r>
        <w:rPr>
          <w:rFonts w:cs="Times New Roman" w:asciiTheme="minorEastAsia" w:hAnsiTheme="minorEastAsia"/>
          <w:sz w:val="28"/>
          <w:szCs w:val="28"/>
        </w:rPr>
        <w:t>PMO</w:t>
      </w:r>
      <w:r>
        <w:rPr>
          <w:rFonts w:hint="eastAsia" w:cs="Times New Roman" w:asciiTheme="minorEastAsia" w:hAnsiTheme="minorEastAsia"/>
          <w:sz w:val="28"/>
          <w:szCs w:val="28"/>
        </w:rPr>
        <w:t>技术评审并通过专家评审会议满意验收后，方可获得相应款项。交付成果提交及付款的具体时间建议如下：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900"/>
        <w:gridCol w:w="1330"/>
        <w:gridCol w:w="1705"/>
        <w:gridCol w:w="1705"/>
      </w:tblGrid>
      <w:tr w14:paraId="530C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530CBC40">
            <w:pPr>
              <w:jc w:val="center"/>
              <w:rPr>
                <w:rFonts w:cs="Times New Roman" w:asciiTheme="minorEastAsia" w:hAnsiTheme="minorEastAsia"/>
                <w:b/>
                <w:sz w:val="24"/>
              </w:rPr>
            </w:pPr>
            <w:r>
              <w:rPr>
                <w:rFonts w:hint="eastAsia" w:cs="Times New Roman" w:asciiTheme="minorEastAsia" w:hAnsiTheme="minorEastAsia"/>
                <w:b/>
                <w:sz w:val="24"/>
              </w:rPr>
              <w:t>序号</w:t>
            </w:r>
          </w:p>
        </w:tc>
        <w:tc>
          <w:tcPr>
            <w:tcW w:w="2900" w:type="dxa"/>
            <w:vAlign w:val="center"/>
          </w:tcPr>
          <w:p w14:paraId="530CBC41">
            <w:pPr>
              <w:jc w:val="center"/>
              <w:rPr>
                <w:rFonts w:cs="Times New Roman" w:asciiTheme="minorEastAsia" w:hAnsiTheme="minorEastAsia"/>
                <w:b/>
                <w:sz w:val="24"/>
              </w:rPr>
            </w:pPr>
            <w:r>
              <w:rPr>
                <w:rFonts w:hint="eastAsia" w:cs="Times New Roman" w:asciiTheme="minorEastAsia" w:hAnsiTheme="minorEastAsia"/>
                <w:b/>
                <w:sz w:val="24"/>
              </w:rPr>
              <w:t>支付条件</w:t>
            </w:r>
          </w:p>
        </w:tc>
        <w:tc>
          <w:tcPr>
            <w:tcW w:w="1330" w:type="dxa"/>
            <w:vAlign w:val="center"/>
          </w:tcPr>
          <w:p w14:paraId="530CBC42">
            <w:pPr>
              <w:jc w:val="center"/>
              <w:rPr>
                <w:rFonts w:cs="Times New Roman" w:asciiTheme="minorEastAsia" w:hAnsiTheme="minorEastAsia"/>
                <w:b/>
                <w:sz w:val="24"/>
              </w:rPr>
            </w:pPr>
            <w:r>
              <w:rPr>
                <w:rFonts w:hint="eastAsia" w:cs="Times New Roman" w:asciiTheme="minorEastAsia" w:hAnsiTheme="minorEastAsia"/>
                <w:b/>
                <w:sz w:val="24"/>
              </w:rPr>
              <w:t>预期提交时间</w:t>
            </w:r>
          </w:p>
        </w:tc>
        <w:tc>
          <w:tcPr>
            <w:tcW w:w="1705" w:type="dxa"/>
            <w:vAlign w:val="center"/>
          </w:tcPr>
          <w:p w14:paraId="530CBC43">
            <w:pPr>
              <w:jc w:val="center"/>
              <w:rPr>
                <w:rFonts w:cs="Times New Roman" w:asciiTheme="minorEastAsia" w:hAnsiTheme="minorEastAsia"/>
                <w:b/>
                <w:sz w:val="24"/>
              </w:rPr>
            </w:pPr>
            <w:r>
              <w:rPr>
                <w:rFonts w:hint="eastAsia" w:cs="Times New Roman" w:asciiTheme="minorEastAsia" w:hAnsiTheme="minorEastAsia"/>
                <w:b/>
                <w:sz w:val="24"/>
              </w:rPr>
              <w:t>预期启动付款程序时间</w:t>
            </w:r>
          </w:p>
        </w:tc>
        <w:tc>
          <w:tcPr>
            <w:tcW w:w="1705" w:type="dxa"/>
            <w:vAlign w:val="center"/>
          </w:tcPr>
          <w:p w14:paraId="530CBC44">
            <w:pPr>
              <w:jc w:val="center"/>
              <w:rPr>
                <w:rFonts w:cs="Times New Roman" w:asciiTheme="minorEastAsia" w:hAnsiTheme="minorEastAsia"/>
                <w:b/>
                <w:sz w:val="24"/>
              </w:rPr>
            </w:pPr>
            <w:r>
              <w:rPr>
                <w:rFonts w:hint="eastAsia" w:cs="Times New Roman" w:asciiTheme="minorEastAsia" w:hAnsiTheme="minorEastAsia"/>
                <w:b/>
                <w:sz w:val="24"/>
              </w:rPr>
              <w:t>付款比例</w:t>
            </w:r>
          </w:p>
        </w:tc>
      </w:tr>
      <w:tr w14:paraId="530C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530CBC46">
            <w:pPr>
              <w:jc w:val="center"/>
              <w:rPr>
                <w:rFonts w:cs="Times New Roman" w:asciiTheme="minorEastAsia" w:hAnsiTheme="minorEastAsia"/>
                <w:sz w:val="24"/>
              </w:rPr>
            </w:pPr>
            <w:r>
              <w:rPr>
                <w:rFonts w:cs="Times New Roman" w:asciiTheme="minorEastAsia" w:hAnsiTheme="minorEastAsia"/>
                <w:sz w:val="24"/>
              </w:rPr>
              <w:t>1</w:t>
            </w:r>
          </w:p>
        </w:tc>
        <w:tc>
          <w:tcPr>
            <w:tcW w:w="2900" w:type="dxa"/>
            <w:vAlign w:val="center"/>
          </w:tcPr>
          <w:p w14:paraId="530CBC47">
            <w:pPr>
              <w:rPr>
                <w:rFonts w:cs="Times New Roman" w:asciiTheme="minorEastAsia" w:hAnsiTheme="minorEastAsia"/>
                <w:sz w:val="24"/>
              </w:rPr>
            </w:pPr>
            <w:r>
              <w:rPr>
                <w:rFonts w:cs="Times New Roman" w:asciiTheme="minorEastAsia" w:hAnsiTheme="minorEastAsia"/>
                <w:sz w:val="24"/>
              </w:rPr>
              <w:t xml:space="preserve">a. </w:t>
            </w:r>
            <w:r>
              <w:rPr>
                <w:rFonts w:hint="eastAsia" w:cs="Times New Roman" w:asciiTheme="minorEastAsia" w:hAnsiTheme="minorEastAsia"/>
                <w:sz w:val="24"/>
              </w:rPr>
              <w:t>详细咨询服务实施方案（含详细研究方法、工作计划及报告大纲）。</w:t>
            </w:r>
          </w:p>
        </w:tc>
        <w:tc>
          <w:tcPr>
            <w:tcW w:w="1330" w:type="dxa"/>
            <w:vAlign w:val="center"/>
          </w:tcPr>
          <w:p w14:paraId="530CBC48">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3</w:t>
            </w:r>
            <w:r>
              <w:rPr>
                <w:rFonts w:hint="eastAsia" w:cs="Times New Roman" w:asciiTheme="minorEastAsia" w:hAnsiTheme="minorEastAsia"/>
                <w:sz w:val="24"/>
              </w:rPr>
              <w:t>个月内</w:t>
            </w:r>
          </w:p>
        </w:tc>
        <w:tc>
          <w:tcPr>
            <w:tcW w:w="1705" w:type="dxa"/>
            <w:vAlign w:val="center"/>
          </w:tcPr>
          <w:p w14:paraId="530CBC49">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3</w:t>
            </w:r>
            <w:r>
              <w:rPr>
                <w:rFonts w:hint="eastAsia" w:cs="Times New Roman" w:asciiTheme="minorEastAsia" w:hAnsiTheme="minorEastAsia"/>
                <w:sz w:val="24"/>
              </w:rPr>
              <w:t>个月内</w:t>
            </w:r>
          </w:p>
        </w:tc>
        <w:tc>
          <w:tcPr>
            <w:tcW w:w="1705" w:type="dxa"/>
            <w:vAlign w:val="center"/>
          </w:tcPr>
          <w:p w14:paraId="530CBC4A">
            <w:pPr>
              <w:jc w:val="center"/>
              <w:rPr>
                <w:rFonts w:cs="Times New Roman" w:asciiTheme="minorEastAsia" w:hAnsiTheme="minorEastAsia"/>
                <w:sz w:val="24"/>
              </w:rPr>
            </w:pPr>
            <w:r>
              <w:rPr>
                <w:rFonts w:cs="Times New Roman" w:asciiTheme="minorEastAsia" w:hAnsiTheme="minorEastAsia"/>
                <w:sz w:val="24"/>
              </w:rPr>
              <w:t>15%</w:t>
            </w:r>
          </w:p>
        </w:tc>
      </w:tr>
      <w:tr w14:paraId="530C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82" w:type="dxa"/>
            <w:vAlign w:val="center"/>
          </w:tcPr>
          <w:p w14:paraId="530CBC4C">
            <w:pPr>
              <w:jc w:val="center"/>
              <w:rPr>
                <w:rFonts w:cs="Times New Roman" w:asciiTheme="minorEastAsia" w:hAnsiTheme="minorEastAsia"/>
                <w:sz w:val="24"/>
              </w:rPr>
            </w:pPr>
            <w:r>
              <w:rPr>
                <w:rFonts w:cs="Times New Roman" w:asciiTheme="minorEastAsia" w:hAnsiTheme="minorEastAsia"/>
                <w:sz w:val="24"/>
              </w:rPr>
              <w:t>2</w:t>
            </w:r>
          </w:p>
        </w:tc>
        <w:tc>
          <w:tcPr>
            <w:tcW w:w="2900" w:type="dxa"/>
            <w:vAlign w:val="center"/>
          </w:tcPr>
          <w:p w14:paraId="530CBC4D">
            <w:pPr>
              <w:rPr>
                <w:rFonts w:cs="Times New Roman" w:asciiTheme="minorEastAsia" w:hAnsiTheme="minorEastAsia"/>
                <w:sz w:val="24"/>
              </w:rPr>
            </w:pPr>
            <w:r>
              <w:rPr>
                <w:rFonts w:cs="Times New Roman" w:asciiTheme="minorEastAsia" w:hAnsiTheme="minorEastAsia"/>
                <w:sz w:val="24"/>
              </w:rPr>
              <w:t xml:space="preserve">a. </w:t>
            </w:r>
            <w:r>
              <w:rPr>
                <w:rFonts w:hint="eastAsia" w:cs="Times New Roman" w:asciiTheme="minorEastAsia" w:hAnsiTheme="minorEastAsia"/>
                <w:sz w:val="24"/>
              </w:rPr>
              <w:t>交付成果</w:t>
            </w:r>
            <w:r>
              <w:rPr>
                <w:rFonts w:cs="Times New Roman" w:asciiTheme="minorEastAsia" w:hAnsiTheme="minorEastAsia"/>
                <w:sz w:val="24"/>
              </w:rPr>
              <w:t>4.2</w:t>
            </w:r>
            <w:r>
              <w:rPr>
                <w:rFonts w:hint="eastAsia" w:cs="Times New Roman" w:asciiTheme="minorEastAsia" w:hAnsiTheme="minorEastAsia"/>
                <w:sz w:val="24"/>
              </w:rPr>
              <w:t>初稿。</w:t>
            </w:r>
          </w:p>
          <w:p w14:paraId="530CBC4E">
            <w:pPr>
              <w:rPr>
                <w:rFonts w:cs="Times New Roman" w:asciiTheme="minorEastAsia" w:hAnsiTheme="minorEastAsia"/>
                <w:sz w:val="24"/>
              </w:rPr>
            </w:pPr>
            <w:r>
              <w:rPr>
                <w:rFonts w:cs="Times New Roman" w:asciiTheme="minorEastAsia" w:hAnsiTheme="minorEastAsia"/>
                <w:sz w:val="24"/>
              </w:rPr>
              <w:t xml:space="preserve">b. </w:t>
            </w:r>
            <w:r>
              <w:rPr>
                <w:rFonts w:hint="eastAsia" w:cs="Times New Roman" w:asciiTheme="minorEastAsia" w:hAnsiTheme="minorEastAsia"/>
                <w:sz w:val="24"/>
              </w:rPr>
              <w:t>交付成果</w:t>
            </w:r>
            <w:r>
              <w:rPr>
                <w:rFonts w:cs="Times New Roman" w:asciiTheme="minorEastAsia" w:hAnsiTheme="minorEastAsia"/>
                <w:sz w:val="24"/>
              </w:rPr>
              <w:t>4.3</w:t>
            </w:r>
            <w:r>
              <w:rPr>
                <w:rFonts w:hint="eastAsia" w:cs="Times New Roman" w:asciiTheme="minorEastAsia" w:hAnsiTheme="minorEastAsia"/>
                <w:sz w:val="24"/>
              </w:rPr>
              <w:t>初稿。</w:t>
            </w:r>
          </w:p>
        </w:tc>
        <w:tc>
          <w:tcPr>
            <w:tcW w:w="1330" w:type="dxa"/>
            <w:vAlign w:val="center"/>
          </w:tcPr>
          <w:p w14:paraId="530CBC4F">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5</w:t>
            </w:r>
            <w:r>
              <w:rPr>
                <w:rFonts w:hint="eastAsia" w:cs="Times New Roman" w:asciiTheme="minorEastAsia" w:hAnsiTheme="minorEastAsia"/>
                <w:sz w:val="24"/>
              </w:rPr>
              <w:t>个月内</w:t>
            </w:r>
          </w:p>
        </w:tc>
        <w:tc>
          <w:tcPr>
            <w:tcW w:w="1705" w:type="dxa"/>
            <w:vAlign w:val="center"/>
          </w:tcPr>
          <w:p w14:paraId="530CBC50">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5</w:t>
            </w:r>
            <w:r>
              <w:rPr>
                <w:rFonts w:hint="eastAsia" w:cs="Times New Roman" w:asciiTheme="minorEastAsia" w:hAnsiTheme="minorEastAsia"/>
                <w:sz w:val="24"/>
              </w:rPr>
              <w:t>个月内</w:t>
            </w:r>
          </w:p>
        </w:tc>
        <w:tc>
          <w:tcPr>
            <w:tcW w:w="1705" w:type="dxa"/>
            <w:vAlign w:val="center"/>
          </w:tcPr>
          <w:p w14:paraId="530CBC51">
            <w:pPr>
              <w:jc w:val="center"/>
              <w:rPr>
                <w:rFonts w:cs="Times New Roman" w:asciiTheme="minorEastAsia" w:hAnsiTheme="minorEastAsia"/>
                <w:sz w:val="24"/>
              </w:rPr>
            </w:pPr>
            <w:r>
              <w:rPr>
                <w:rFonts w:cs="Times New Roman" w:asciiTheme="minorEastAsia" w:hAnsiTheme="minorEastAsia"/>
                <w:sz w:val="24"/>
              </w:rPr>
              <w:t>30%</w:t>
            </w:r>
          </w:p>
        </w:tc>
      </w:tr>
      <w:tr w14:paraId="530C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Merge w:val="restart"/>
            <w:vAlign w:val="center"/>
          </w:tcPr>
          <w:p w14:paraId="530CBC53">
            <w:pPr>
              <w:jc w:val="center"/>
              <w:rPr>
                <w:rFonts w:cs="Times New Roman" w:asciiTheme="minorEastAsia" w:hAnsiTheme="minorEastAsia"/>
                <w:sz w:val="24"/>
              </w:rPr>
            </w:pPr>
            <w:r>
              <w:rPr>
                <w:rFonts w:cs="Times New Roman" w:asciiTheme="minorEastAsia" w:hAnsiTheme="minorEastAsia"/>
                <w:sz w:val="24"/>
              </w:rPr>
              <w:t>3</w:t>
            </w:r>
          </w:p>
        </w:tc>
        <w:tc>
          <w:tcPr>
            <w:tcW w:w="2900" w:type="dxa"/>
            <w:vAlign w:val="center"/>
          </w:tcPr>
          <w:p w14:paraId="530CBC54">
            <w:pPr>
              <w:rPr>
                <w:rFonts w:cs="Times New Roman" w:asciiTheme="minorEastAsia" w:hAnsiTheme="minorEastAsia"/>
                <w:sz w:val="24"/>
              </w:rPr>
            </w:pPr>
            <w:r>
              <w:rPr>
                <w:rFonts w:cs="Times New Roman" w:asciiTheme="minorEastAsia" w:hAnsiTheme="minorEastAsia"/>
                <w:sz w:val="24"/>
              </w:rPr>
              <w:t xml:space="preserve">a. </w:t>
            </w:r>
            <w:r>
              <w:rPr>
                <w:rFonts w:hint="eastAsia" w:cs="Times New Roman" w:asciiTheme="minorEastAsia" w:hAnsiTheme="minorEastAsia"/>
                <w:sz w:val="24"/>
              </w:rPr>
              <w:t>交付成果</w:t>
            </w:r>
            <w:r>
              <w:rPr>
                <w:rFonts w:cs="Times New Roman" w:asciiTheme="minorEastAsia" w:hAnsiTheme="minorEastAsia"/>
                <w:sz w:val="24"/>
              </w:rPr>
              <w:t>4.2,4.3</w:t>
            </w:r>
            <w:r>
              <w:rPr>
                <w:rFonts w:hint="eastAsia" w:cs="Times New Roman" w:asciiTheme="minorEastAsia" w:hAnsiTheme="minorEastAsia"/>
                <w:sz w:val="24"/>
              </w:rPr>
              <w:t>修订稿。</w:t>
            </w:r>
          </w:p>
          <w:p w14:paraId="530CBC55">
            <w:pPr>
              <w:rPr>
                <w:rFonts w:cs="Times New Roman" w:asciiTheme="minorEastAsia" w:hAnsiTheme="minorEastAsia"/>
                <w:sz w:val="24"/>
              </w:rPr>
            </w:pPr>
            <w:r>
              <w:rPr>
                <w:rFonts w:cs="Times New Roman" w:asciiTheme="minorEastAsia" w:hAnsiTheme="minorEastAsia"/>
                <w:sz w:val="24"/>
              </w:rPr>
              <w:t xml:space="preserve">b. </w:t>
            </w:r>
            <w:r>
              <w:rPr>
                <w:rFonts w:hint="eastAsia" w:cs="Times New Roman" w:asciiTheme="minorEastAsia" w:hAnsiTheme="minorEastAsia"/>
                <w:sz w:val="24"/>
              </w:rPr>
              <w:t>交付成果</w:t>
            </w:r>
            <w:r>
              <w:rPr>
                <w:rFonts w:cs="Times New Roman" w:asciiTheme="minorEastAsia" w:hAnsiTheme="minorEastAsia"/>
                <w:sz w:val="24"/>
              </w:rPr>
              <w:t>4.1,4.4,4.5</w:t>
            </w:r>
            <w:r>
              <w:rPr>
                <w:rFonts w:hint="eastAsia" w:cs="Times New Roman" w:asciiTheme="minorEastAsia" w:hAnsiTheme="minorEastAsia"/>
                <w:sz w:val="24"/>
              </w:rPr>
              <w:t>初稿。</w:t>
            </w:r>
          </w:p>
        </w:tc>
        <w:tc>
          <w:tcPr>
            <w:tcW w:w="1330" w:type="dxa"/>
            <w:vAlign w:val="center"/>
          </w:tcPr>
          <w:p w14:paraId="530CBC56">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8</w:t>
            </w:r>
            <w:r>
              <w:rPr>
                <w:rFonts w:hint="eastAsia" w:cs="Times New Roman" w:asciiTheme="minorEastAsia" w:hAnsiTheme="minorEastAsia"/>
                <w:sz w:val="24"/>
              </w:rPr>
              <w:t>个月内</w:t>
            </w:r>
          </w:p>
        </w:tc>
        <w:tc>
          <w:tcPr>
            <w:tcW w:w="1705" w:type="dxa"/>
            <w:vMerge w:val="restart"/>
            <w:vAlign w:val="center"/>
          </w:tcPr>
          <w:p w14:paraId="530CBC57">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12</w:t>
            </w:r>
            <w:r>
              <w:rPr>
                <w:rFonts w:hint="eastAsia" w:cs="Times New Roman" w:asciiTheme="minorEastAsia" w:hAnsiTheme="minorEastAsia"/>
                <w:sz w:val="24"/>
              </w:rPr>
              <w:t>个月内</w:t>
            </w:r>
          </w:p>
        </w:tc>
        <w:tc>
          <w:tcPr>
            <w:tcW w:w="1705" w:type="dxa"/>
            <w:vMerge w:val="restart"/>
            <w:vAlign w:val="center"/>
          </w:tcPr>
          <w:p w14:paraId="530CBC58">
            <w:pPr>
              <w:jc w:val="center"/>
              <w:rPr>
                <w:rFonts w:cs="Times New Roman" w:asciiTheme="minorEastAsia" w:hAnsiTheme="minorEastAsia"/>
                <w:sz w:val="24"/>
              </w:rPr>
            </w:pPr>
            <w:r>
              <w:rPr>
                <w:rFonts w:cs="Times New Roman" w:asciiTheme="minorEastAsia" w:hAnsiTheme="minorEastAsia"/>
                <w:sz w:val="24"/>
              </w:rPr>
              <w:t>45%</w:t>
            </w:r>
          </w:p>
        </w:tc>
      </w:tr>
      <w:tr w14:paraId="530C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Merge w:val="continue"/>
            <w:vAlign w:val="center"/>
          </w:tcPr>
          <w:p w14:paraId="530CBC5A">
            <w:pPr>
              <w:jc w:val="center"/>
              <w:rPr>
                <w:rFonts w:cs="Times New Roman" w:asciiTheme="minorEastAsia" w:hAnsiTheme="minorEastAsia"/>
                <w:sz w:val="24"/>
              </w:rPr>
            </w:pPr>
          </w:p>
        </w:tc>
        <w:tc>
          <w:tcPr>
            <w:tcW w:w="2900" w:type="dxa"/>
            <w:vAlign w:val="center"/>
          </w:tcPr>
          <w:p w14:paraId="530CBC5B">
            <w:pPr>
              <w:rPr>
                <w:rFonts w:cs="Times New Roman" w:asciiTheme="minorEastAsia" w:hAnsiTheme="minorEastAsia"/>
                <w:sz w:val="24"/>
              </w:rPr>
            </w:pPr>
            <w:r>
              <w:rPr>
                <w:rFonts w:cs="Times New Roman" w:asciiTheme="minorEastAsia" w:hAnsiTheme="minorEastAsia"/>
                <w:sz w:val="24"/>
              </w:rPr>
              <w:t xml:space="preserve">c. </w:t>
            </w:r>
            <w:r>
              <w:rPr>
                <w:rFonts w:hint="eastAsia" w:cs="Times New Roman" w:asciiTheme="minorEastAsia" w:hAnsiTheme="minorEastAsia"/>
                <w:sz w:val="24"/>
              </w:rPr>
              <w:t>交付成果</w:t>
            </w:r>
            <w:r>
              <w:rPr>
                <w:rFonts w:cs="Times New Roman" w:asciiTheme="minorEastAsia" w:hAnsiTheme="minorEastAsia"/>
                <w:sz w:val="24"/>
              </w:rPr>
              <w:t>4.1,4.4,4.5</w:t>
            </w:r>
            <w:r>
              <w:rPr>
                <w:rFonts w:hint="eastAsia" w:cs="Times New Roman" w:asciiTheme="minorEastAsia" w:hAnsiTheme="minorEastAsia"/>
                <w:sz w:val="24"/>
              </w:rPr>
              <w:t>修订稿</w:t>
            </w:r>
          </w:p>
        </w:tc>
        <w:tc>
          <w:tcPr>
            <w:tcW w:w="1330" w:type="dxa"/>
            <w:vAlign w:val="center"/>
          </w:tcPr>
          <w:p w14:paraId="530CBC5C">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10</w:t>
            </w:r>
            <w:r>
              <w:rPr>
                <w:rFonts w:hint="eastAsia" w:cs="Times New Roman" w:asciiTheme="minorEastAsia" w:hAnsiTheme="minorEastAsia"/>
                <w:sz w:val="24"/>
              </w:rPr>
              <w:t>个月内</w:t>
            </w:r>
          </w:p>
        </w:tc>
        <w:tc>
          <w:tcPr>
            <w:tcW w:w="1705" w:type="dxa"/>
            <w:vMerge w:val="continue"/>
            <w:vAlign w:val="center"/>
          </w:tcPr>
          <w:p w14:paraId="530CBC5D">
            <w:pPr>
              <w:jc w:val="center"/>
              <w:rPr>
                <w:rFonts w:cs="Times New Roman" w:asciiTheme="minorEastAsia" w:hAnsiTheme="minorEastAsia"/>
                <w:sz w:val="24"/>
              </w:rPr>
            </w:pPr>
          </w:p>
        </w:tc>
        <w:tc>
          <w:tcPr>
            <w:tcW w:w="1705" w:type="dxa"/>
            <w:vMerge w:val="continue"/>
            <w:vAlign w:val="center"/>
          </w:tcPr>
          <w:p w14:paraId="530CBC5E">
            <w:pPr>
              <w:jc w:val="center"/>
              <w:rPr>
                <w:rFonts w:cs="Times New Roman" w:asciiTheme="minorEastAsia" w:hAnsiTheme="minorEastAsia"/>
                <w:sz w:val="24"/>
              </w:rPr>
            </w:pPr>
          </w:p>
        </w:tc>
      </w:tr>
      <w:tr w14:paraId="530C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Merge w:val="continue"/>
            <w:vAlign w:val="center"/>
          </w:tcPr>
          <w:p w14:paraId="530CBC60">
            <w:pPr>
              <w:jc w:val="center"/>
              <w:rPr>
                <w:rFonts w:cs="Times New Roman" w:asciiTheme="minorEastAsia" w:hAnsiTheme="minorEastAsia"/>
                <w:sz w:val="24"/>
              </w:rPr>
            </w:pPr>
          </w:p>
        </w:tc>
        <w:tc>
          <w:tcPr>
            <w:tcW w:w="2900" w:type="dxa"/>
            <w:vAlign w:val="center"/>
          </w:tcPr>
          <w:p w14:paraId="73A3813A">
            <w:pPr>
              <w:rPr>
                <w:rStyle w:val="15"/>
                <w:rFonts w:cs="Times New Roman" w:asciiTheme="minorEastAsia" w:hAnsiTheme="minorEastAsia"/>
                <w:sz w:val="24"/>
                <w:szCs w:val="24"/>
              </w:rPr>
            </w:pPr>
            <w:r>
              <w:rPr>
                <w:rFonts w:cs="Times New Roman" w:asciiTheme="minorEastAsia" w:hAnsiTheme="minorEastAsia"/>
                <w:sz w:val="24"/>
              </w:rPr>
              <w:t xml:space="preserve">d. </w:t>
            </w:r>
            <w:r>
              <w:rPr>
                <w:rFonts w:hint="eastAsia" w:cs="Times New Roman" w:asciiTheme="minorEastAsia" w:hAnsiTheme="minorEastAsia"/>
                <w:sz w:val="24"/>
              </w:rPr>
              <w:t>交付成果</w:t>
            </w:r>
            <w:r>
              <w:rPr>
                <w:rFonts w:cs="Times New Roman" w:asciiTheme="minorEastAsia" w:hAnsiTheme="minorEastAsia"/>
                <w:sz w:val="24"/>
              </w:rPr>
              <w:t>4.1</w:t>
            </w:r>
            <w:r>
              <w:rPr>
                <w:rFonts w:hint="eastAsia" w:cs="Times New Roman" w:asciiTheme="minorEastAsia" w:hAnsiTheme="minorEastAsia"/>
                <w:sz w:val="24"/>
              </w:rPr>
              <w:t>，</w:t>
            </w:r>
            <w:r>
              <w:rPr>
                <w:rFonts w:cs="Times New Roman" w:asciiTheme="minorEastAsia" w:hAnsiTheme="minorEastAsia"/>
                <w:sz w:val="24"/>
              </w:rPr>
              <w:t>4.2,4.3,4.4</w:t>
            </w:r>
            <w:r>
              <w:rPr>
                <w:rFonts w:hint="eastAsia" w:cs="Times New Roman" w:asciiTheme="minorEastAsia" w:hAnsiTheme="minorEastAsia"/>
                <w:sz w:val="24"/>
              </w:rPr>
              <w:t>终稿</w:t>
            </w:r>
          </w:p>
          <w:p w14:paraId="530CBC62">
            <w:pPr>
              <w:rPr>
                <w:rFonts w:cs="Times New Roman" w:asciiTheme="minorEastAsia" w:hAnsiTheme="minorEastAsia"/>
                <w:sz w:val="24"/>
              </w:rPr>
            </w:pPr>
            <w:r>
              <w:rPr>
                <w:rStyle w:val="15"/>
                <w:rFonts w:cs="Times New Roman" w:asciiTheme="minorEastAsia" w:hAnsiTheme="minorEastAsia"/>
                <w:sz w:val="24"/>
                <w:szCs w:val="24"/>
              </w:rPr>
              <w:t xml:space="preserve">e. </w:t>
            </w:r>
            <w:r>
              <w:rPr>
                <w:rStyle w:val="15"/>
                <w:rFonts w:hint="eastAsia" w:cs="Times New Roman" w:asciiTheme="minorEastAsia" w:hAnsiTheme="minorEastAsia"/>
                <w:sz w:val="24"/>
                <w:szCs w:val="24"/>
              </w:rPr>
              <w:t>交付成果</w:t>
            </w:r>
            <w:r>
              <w:rPr>
                <w:rStyle w:val="15"/>
                <w:rFonts w:cs="Times New Roman" w:asciiTheme="minorEastAsia" w:hAnsiTheme="minorEastAsia"/>
                <w:sz w:val="24"/>
                <w:szCs w:val="24"/>
              </w:rPr>
              <w:t>4.5</w:t>
            </w:r>
            <w:r>
              <w:rPr>
                <w:rStyle w:val="15"/>
                <w:rFonts w:hint="eastAsia" w:cs="Times New Roman" w:asciiTheme="minorEastAsia" w:hAnsiTheme="minorEastAsia"/>
                <w:sz w:val="24"/>
                <w:szCs w:val="24"/>
              </w:rPr>
              <w:t>终稿</w:t>
            </w:r>
          </w:p>
        </w:tc>
        <w:tc>
          <w:tcPr>
            <w:tcW w:w="1330" w:type="dxa"/>
            <w:vAlign w:val="center"/>
          </w:tcPr>
          <w:p w14:paraId="530CBC63">
            <w:pPr>
              <w:jc w:val="center"/>
              <w:rPr>
                <w:rFonts w:cs="Times New Roman" w:asciiTheme="minorEastAsia" w:hAnsiTheme="minorEastAsia"/>
                <w:sz w:val="24"/>
              </w:rPr>
            </w:pPr>
            <w:r>
              <w:rPr>
                <w:rFonts w:hint="eastAsia" w:cs="Times New Roman" w:asciiTheme="minorEastAsia" w:hAnsiTheme="minorEastAsia"/>
                <w:sz w:val="24"/>
              </w:rPr>
              <w:t>合同签署后</w:t>
            </w:r>
            <w:r>
              <w:rPr>
                <w:rFonts w:cs="Times New Roman" w:asciiTheme="minorEastAsia" w:hAnsiTheme="minorEastAsia"/>
                <w:sz w:val="24"/>
              </w:rPr>
              <w:t>12</w:t>
            </w:r>
            <w:r>
              <w:rPr>
                <w:rFonts w:hint="eastAsia" w:cs="Times New Roman" w:asciiTheme="minorEastAsia" w:hAnsiTheme="minorEastAsia"/>
                <w:sz w:val="24"/>
              </w:rPr>
              <w:t>个月内</w:t>
            </w:r>
          </w:p>
        </w:tc>
        <w:tc>
          <w:tcPr>
            <w:tcW w:w="1705" w:type="dxa"/>
            <w:vMerge w:val="continue"/>
            <w:vAlign w:val="center"/>
          </w:tcPr>
          <w:p w14:paraId="530CBC64">
            <w:pPr>
              <w:jc w:val="center"/>
              <w:rPr>
                <w:rFonts w:cs="Times New Roman" w:asciiTheme="minorEastAsia" w:hAnsiTheme="minorEastAsia"/>
                <w:sz w:val="24"/>
              </w:rPr>
            </w:pPr>
          </w:p>
        </w:tc>
        <w:tc>
          <w:tcPr>
            <w:tcW w:w="1705" w:type="dxa"/>
            <w:vMerge w:val="continue"/>
            <w:vAlign w:val="center"/>
          </w:tcPr>
          <w:p w14:paraId="530CBC65">
            <w:pPr>
              <w:jc w:val="center"/>
              <w:rPr>
                <w:rFonts w:cs="Times New Roman" w:asciiTheme="minorEastAsia" w:hAnsiTheme="minorEastAsia"/>
                <w:sz w:val="24"/>
              </w:rPr>
            </w:pPr>
          </w:p>
        </w:tc>
      </w:tr>
      <w:tr w14:paraId="530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530CBC67">
            <w:pPr>
              <w:jc w:val="center"/>
              <w:rPr>
                <w:rFonts w:cs="Times New Roman" w:asciiTheme="minorEastAsia" w:hAnsiTheme="minorEastAsia"/>
                <w:sz w:val="24"/>
              </w:rPr>
            </w:pPr>
            <w:r>
              <w:rPr>
                <w:rFonts w:cs="Times New Roman" w:asciiTheme="minorEastAsia" w:hAnsiTheme="minorEastAsia"/>
                <w:sz w:val="24"/>
              </w:rPr>
              <w:t>4</w:t>
            </w:r>
          </w:p>
        </w:tc>
        <w:tc>
          <w:tcPr>
            <w:tcW w:w="2900" w:type="dxa"/>
            <w:vAlign w:val="center"/>
          </w:tcPr>
          <w:p w14:paraId="530CBC68">
            <w:pPr>
              <w:rPr>
                <w:rFonts w:cs="Times New Roman" w:asciiTheme="minorEastAsia" w:hAnsiTheme="minorEastAsia"/>
                <w:sz w:val="24"/>
              </w:rPr>
            </w:pPr>
            <w:r>
              <w:rPr>
                <w:rFonts w:hint="eastAsia" w:cs="Times New Roman" w:asciiTheme="minorEastAsia" w:hAnsiTheme="minorEastAsia"/>
                <w:sz w:val="24"/>
              </w:rPr>
              <w:t>上述所有最终报告</w:t>
            </w:r>
          </w:p>
        </w:tc>
        <w:tc>
          <w:tcPr>
            <w:tcW w:w="1330" w:type="dxa"/>
            <w:vAlign w:val="center"/>
          </w:tcPr>
          <w:p w14:paraId="530CBC69">
            <w:pPr>
              <w:jc w:val="center"/>
              <w:rPr>
                <w:rFonts w:cs="Times New Roman" w:asciiTheme="minorEastAsia" w:hAnsiTheme="minorEastAsia"/>
                <w:sz w:val="24"/>
              </w:rPr>
            </w:pPr>
            <w:r>
              <w:rPr>
                <w:rFonts w:cs="Times New Roman" w:asciiTheme="minorEastAsia" w:hAnsiTheme="minorEastAsia"/>
                <w:sz w:val="24"/>
              </w:rPr>
              <w:t>2028</w:t>
            </w:r>
            <w:r>
              <w:rPr>
                <w:rFonts w:hint="eastAsia" w:cs="Times New Roman" w:asciiTheme="minorEastAsia" w:hAnsiTheme="minorEastAsia"/>
                <w:sz w:val="24"/>
              </w:rPr>
              <w:t>年</w:t>
            </w:r>
            <w:r>
              <w:rPr>
                <w:rFonts w:cs="Times New Roman" w:asciiTheme="minorEastAsia" w:hAnsiTheme="minorEastAsia"/>
                <w:sz w:val="24"/>
              </w:rPr>
              <w:t>6</w:t>
            </w:r>
            <w:r>
              <w:rPr>
                <w:rFonts w:hint="eastAsia" w:cs="Times New Roman" w:asciiTheme="minorEastAsia" w:hAnsiTheme="minorEastAsia"/>
                <w:sz w:val="24"/>
              </w:rPr>
              <w:t>月底前</w:t>
            </w:r>
          </w:p>
        </w:tc>
        <w:tc>
          <w:tcPr>
            <w:tcW w:w="1705" w:type="dxa"/>
            <w:vAlign w:val="center"/>
          </w:tcPr>
          <w:p w14:paraId="530CBC6A">
            <w:pPr>
              <w:jc w:val="center"/>
              <w:rPr>
                <w:rFonts w:cs="Times New Roman" w:asciiTheme="minorEastAsia" w:hAnsiTheme="minorEastAsia"/>
                <w:sz w:val="24"/>
              </w:rPr>
            </w:pPr>
            <w:r>
              <w:rPr>
                <w:rFonts w:cs="Times New Roman" w:asciiTheme="minorEastAsia" w:hAnsiTheme="minorEastAsia"/>
                <w:sz w:val="24"/>
              </w:rPr>
              <w:t>2028</w:t>
            </w:r>
            <w:r>
              <w:rPr>
                <w:rFonts w:hint="eastAsia" w:cs="Times New Roman" w:asciiTheme="minorEastAsia" w:hAnsiTheme="minorEastAsia"/>
                <w:sz w:val="24"/>
              </w:rPr>
              <w:t>年</w:t>
            </w:r>
            <w:r>
              <w:rPr>
                <w:rFonts w:cs="Times New Roman" w:asciiTheme="minorEastAsia" w:hAnsiTheme="minorEastAsia"/>
                <w:sz w:val="24"/>
              </w:rPr>
              <w:t>6</w:t>
            </w:r>
            <w:r>
              <w:rPr>
                <w:rFonts w:hint="eastAsia" w:cs="Times New Roman" w:asciiTheme="minorEastAsia" w:hAnsiTheme="minorEastAsia"/>
                <w:sz w:val="24"/>
              </w:rPr>
              <w:t>月底前</w:t>
            </w:r>
          </w:p>
        </w:tc>
        <w:tc>
          <w:tcPr>
            <w:tcW w:w="1705" w:type="dxa"/>
            <w:vAlign w:val="center"/>
          </w:tcPr>
          <w:p w14:paraId="530CBC6B">
            <w:pPr>
              <w:jc w:val="center"/>
              <w:rPr>
                <w:rFonts w:cs="Times New Roman" w:asciiTheme="minorEastAsia" w:hAnsiTheme="minorEastAsia"/>
                <w:sz w:val="24"/>
              </w:rPr>
            </w:pPr>
            <w:r>
              <w:rPr>
                <w:rFonts w:cs="Times New Roman" w:asciiTheme="minorEastAsia" w:hAnsiTheme="minorEastAsia"/>
                <w:sz w:val="24"/>
              </w:rPr>
              <w:t>10%</w:t>
            </w:r>
          </w:p>
        </w:tc>
      </w:tr>
    </w:tbl>
    <w:p w14:paraId="530CBC6D">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分包承担单位需在项目建议书中制定详细的项目进度安排，以明确每项成果的交付时间。交付成果提交及款项支付的最终时间安排以合同条款与条件为准。若为执行分包合同所需，在双方协商一致的前提下，合同可根据实际需要进行修订或续签。</w:t>
      </w:r>
    </w:p>
    <w:p w14:paraId="530CBC6E">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咨询服务单位资质及团队要求</w:t>
      </w:r>
    </w:p>
    <w:p w14:paraId="530CBC6F">
      <w:pPr>
        <w:pStyle w:val="4"/>
        <w:spacing w:before="156" w:beforeLines="50" w:after="156" w:afterLines="50" w:line="240" w:lineRule="auto"/>
        <w:ind w:firstLine="56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 xml:space="preserve">6.1 </w:t>
      </w:r>
      <w:r>
        <w:rPr>
          <w:rFonts w:hint="eastAsia" w:cs="Times New Roman" w:asciiTheme="minorEastAsia" w:hAnsiTheme="minorEastAsia" w:eastAsiaTheme="minorEastAsia"/>
          <w:sz w:val="28"/>
          <w:szCs w:val="28"/>
        </w:rPr>
        <w:t>项目承接单位要求</w:t>
      </w:r>
    </w:p>
    <w:p w14:paraId="152B0C74">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本项目允许联合体参与投标，联合体各方应满足本工作任务大纲所要求的资质条件，且需满足《中华人民共和国政府采购法》第二十二条规定，并明确牵头单位和参与单位的各方职责分工。</w:t>
      </w:r>
    </w:p>
    <w:p w14:paraId="530CBC70">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本项目分包任务旨在从宏观战略层面开展碳定价政策研究，要求承接单位需要具有以下能力：</w:t>
      </w:r>
    </w:p>
    <w:p w14:paraId="530CBC71">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1. </w:t>
      </w:r>
      <w:r>
        <w:rPr>
          <w:rFonts w:hint="eastAsia" w:cs="Times New Roman" w:asciiTheme="minorEastAsia" w:hAnsiTheme="minorEastAsia"/>
          <w:sz w:val="28"/>
          <w:szCs w:val="28"/>
        </w:rPr>
        <w:t>对国家宏观发展战略、产业政策、能源政策、气候政策，特别是</w:t>
      </w:r>
      <w:r>
        <w:rPr>
          <w:rFonts w:cs="Times New Roman" w:asciiTheme="minorEastAsia" w:hAnsiTheme="minorEastAsia"/>
          <w:sz w:val="28"/>
          <w:szCs w:val="28"/>
        </w:rPr>
        <w:t>“1+N”</w:t>
      </w:r>
      <w:r>
        <w:rPr>
          <w:rFonts w:hint="eastAsia" w:cs="Times New Roman" w:asciiTheme="minorEastAsia" w:hAnsiTheme="minorEastAsia"/>
          <w:sz w:val="28"/>
          <w:szCs w:val="28"/>
        </w:rPr>
        <w:t>政策体系和碳定价机制，具有深刻的认识和深厚的研究基础。</w:t>
      </w:r>
    </w:p>
    <w:p w14:paraId="530CBC72">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2. </w:t>
      </w:r>
      <w:r>
        <w:rPr>
          <w:rFonts w:hint="eastAsia" w:cs="Times New Roman" w:asciiTheme="minorEastAsia" w:hAnsiTheme="minorEastAsia"/>
          <w:sz w:val="28"/>
          <w:szCs w:val="28"/>
        </w:rPr>
        <w:t>具备开展宏观经济政策影响评估的丰富经验和专业能力，能够对碳定价的宏观影响进行分析。</w:t>
      </w:r>
    </w:p>
    <w:p w14:paraId="530CBC73">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3. </w:t>
      </w:r>
      <w:r>
        <w:rPr>
          <w:rFonts w:hint="eastAsia" w:cs="Times New Roman" w:asciiTheme="minorEastAsia" w:hAnsiTheme="minorEastAsia"/>
          <w:sz w:val="28"/>
          <w:szCs w:val="28"/>
        </w:rPr>
        <w:t>具备为国家相关政策、战略、规划的制定及修订提供高层次咨询的能力和渠道，与国家级决策部门有良好的沟通基础。</w:t>
      </w:r>
    </w:p>
    <w:p w14:paraId="530CBC74">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4. </w:t>
      </w:r>
      <w:r>
        <w:rPr>
          <w:rFonts w:hint="eastAsia" w:cs="Times New Roman" w:asciiTheme="minorEastAsia" w:hAnsiTheme="minorEastAsia"/>
          <w:sz w:val="28"/>
          <w:szCs w:val="28"/>
        </w:rPr>
        <w:t>具备开展跨部门政策统筹协调研究的经验与能力，熟悉相关部门的政策制定流程与职能分工。</w:t>
      </w:r>
    </w:p>
    <w:p w14:paraId="530CBC75">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5. </w:t>
      </w:r>
      <w:r>
        <w:rPr>
          <w:rFonts w:hint="eastAsia" w:cs="Times New Roman" w:asciiTheme="minorEastAsia" w:hAnsiTheme="minorEastAsia"/>
          <w:sz w:val="28"/>
          <w:szCs w:val="28"/>
        </w:rPr>
        <w:t>在碳定价政策或相关领域具备研究经验与分析能力。</w:t>
      </w:r>
    </w:p>
    <w:p w14:paraId="530CBC76">
      <w:pPr>
        <w:pStyle w:val="4"/>
        <w:spacing w:before="156" w:beforeLines="50" w:after="156" w:afterLines="50" w:line="240" w:lineRule="auto"/>
        <w:ind w:firstLine="56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 xml:space="preserve">6.2 </w:t>
      </w:r>
      <w:r>
        <w:rPr>
          <w:rFonts w:hint="eastAsia" w:cs="Times New Roman" w:asciiTheme="minorEastAsia" w:hAnsiTheme="minorEastAsia" w:eastAsiaTheme="minorEastAsia"/>
          <w:sz w:val="28"/>
          <w:szCs w:val="28"/>
        </w:rPr>
        <w:t>课题研究团队要求</w:t>
      </w:r>
    </w:p>
    <w:p w14:paraId="532BE2A4">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项目团队应不少于</w:t>
      </w:r>
      <w:r>
        <w:rPr>
          <w:rFonts w:cs="Times New Roman" w:asciiTheme="minorEastAsia" w:hAnsiTheme="minorEastAsia"/>
          <w:sz w:val="28"/>
          <w:szCs w:val="28"/>
        </w:rPr>
        <w:t>10</w:t>
      </w:r>
      <w:r>
        <w:rPr>
          <w:rFonts w:hint="eastAsia" w:cs="Times New Roman" w:asciiTheme="minorEastAsia" w:hAnsiTheme="minorEastAsia"/>
          <w:sz w:val="28"/>
          <w:szCs w:val="28"/>
        </w:rPr>
        <w:t>人，保证项目实施有充足且专业的人员。团队构成应有宏观政策研究人员、经济分析人员、项目与财务管理人员、环境社会风险管控人员等。</w:t>
      </w:r>
    </w:p>
    <w:p w14:paraId="2CBB7B1C">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a. </w:t>
      </w:r>
      <w:r>
        <w:rPr>
          <w:rFonts w:hint="eastAsia" w:cs="Times New Roman" w:asciiTheme="minorEastAsia" w:hAnsiTheme="minorEastAsia"/>
          <w:sz w:val="28"/>
          <w:szCs w:val="28"/>
        </w:rPr>
        <w:t>项目负责人（</w:t>
      </w:r>
      <w:r>
        <w:rPr>
          <w:rFonts w:cs="Times New Roman" w:asciiTheme="minorEastAsia" w:hAnsiTheme="minorEastAsia"/>
          <w:sz w:val="28"/>
          <w:szCs w:val="28"/>
        </w:rPr>
        <w:t>1</w:t>
      </w:r>
      <w:r>
        <w:rPr>
          <w:rFonts w:hint="eastAsia" w:cs="Times New Roman" w:asciiTheme="minorEastAsia" w:hAnsiTheme="minorEastAsia"/>
          <w:sz w:val="28"/>
          <w:szCs w:val="28"/>
        </w:rPr>
        <w:t>人）</w:t>
      </w:r>
    </w:p>
    <w:p w14:paraId="7AC0EC2C">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负责项目总体规划、任务部署和进度把控等工作。从事气候政策或能源经济领域研究</w:t>
      </w:r>
      <w:r>
        <w:rPr>
          <w:rFonts w:cs="Times New Roman" w:asciiTheme="minorEastAsia" w:hAnsiTheme="minorEastAsia"/>
          <w:sz w:val="28"/>
          <w:szCs w:val="28"/>
        </w:rPr>
        <w:t>10</w:t>
      </w:r>
      <w:r>
        <w:rPr>
          <w:rFonts w:hint="eastAsia" w:cs="Times New Roman" w:asciiTheme="minorEastAsia" w:hAnsiTheme="minorEastAsia"/>
          <w:sz w:val="28"/>
          <w:szCs w:val="28"/>
        </w:rPr>
        <w:t>年以上，或作为项目负责人承担过国家级或部委级气候变化、碳市场、碳定价相关宏观战略研究项目不少于</w:t>
      </w:r>
      <w:r>
        <w:rPr>
          <w:rFonts w:cs="Times New Roman" w:asciiTheme="minorEastAsia" w:hAnsiTheme="minorEastAsia"/>
          <w:sz w:val="28"/>
          <w:szCs w:val="28"/>
        </w:rPr>
        <w:t>2</w:t>
      </w:r>
      <w:r>
        <w:rPr>
          <w:rFonts w:hint="eastAsia" w:cs="Times New Roman" w:asciiTheme="minorEastAsia" w:hAnsiTheme="minorEastAsia"/>
          <w:sz w:val="28"/>
          <w:szCs w:val="28"/>
        </w:rPr>
        <w:t>项。</w:t>
      </w:r>
    </w:p>
    <w:p w14:paraId="0CCFE577">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b. </w:t>
      </w:r>
      <w:r>
        <w:rPr>
          <w:rFonts w:hint="eastAsia" w:cs="Times New Roman" w:asciiTheme="minorEastAsia" w:hAnsiTheme="minorEastAsia"/>
          <w:sz w:val="28"/>
          <w:szCs w:val="28"/>
        </w:rPr>
        <w:t>技术人员（若干）</w:t>
      </w:r>
    </w:p>
    <w:p w14:paraId="72927ECE">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团队应配置具备以下能力和经验的技术人员：</w:t>
      </w:r>
    </w:p>
    <w:p w14:paraId="5FFA923B">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在碳定价、能源政策或环境经济学领域具有</w:t>
      </w:r>
      <w:r>
        <w:rPr>
          <w:rFonts w:cs="Times New Roman" w:asciiTheme="minorEastAsia" w:hAnsiTheme="minorEastAsia"/>
          <w:sz w:val="28"/>
          <w:szCs w:val="28"/>
        </w:rPr>
        <w:t>8</w:t>
      </w:r>
      <w:r>
        <w:rPr>
          <w:rFonts w:hint="eastAsia" w:cs="Times New Roman" w:asciiTheme="minorEastAsia" w:hAnsiTheme="minorEastAsia"/>
          <w:sz w:val="28"/>
          <w:szCs w:val="28"/>
        </w:rPr>
        <w:t>年以上工作经验，或曾以主要技术负责人身份承担过国家级或省部级相关政策评估项目，具备承担技术方案制定、方法设计及研究成果技术审核的能力；</w:t>
      </w:r>
    </w:p>
    <w:p w14:paraId="20024B3B">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在宏观战略与政策体系研究领域具有</w:t>
      </w:r>
      <w:r>
        <w:rPr>
          <w:rFonts w:cs="Times New Roman" w:asciiTheme="minorEastAsia" w:hAnsiTheme="minorEastAsia"/>
          <w:sz w:val="28"/>
          <w:szCs w:val="28"/>
        </w:rPr>
        <w:t>5</w:t>
      </w:r>
      <w:r>
        <w:rPr>
          <w:rFonts w:hint="eastAsia" w:cs="Times New Roman" w:asciiTheme="minorEastAsia" w:hAnsiTheme="minorEastAsia"/>
          <w:sz w:val="28"/>
          <w:szCs w:val="28"/>
        </w:rPr>
        <w:t>年以上工作经历，或曾以主要技术人员身份参与过相关研究项目，具备承担碳定价政策在“</w:t>
      </w:r>
      <w:r>
        <w:rPr>
          <w:rFonts w:cs="Times New Roman" w:asciiTheme="minorEastAsia" w:hAnsiTheme="minorEastAsia"/>
          <w:sz w:val="28"/>
          <w:szCs w:val="28"/>
        </w:rPr>
        <w:t>1+N</w:t>
      </w:r>
      <w:r>
        <w:rPr>
          <w:rFonts w:hint="eastAsia" w:cs="Times New Roman" w:asciiTheme="minorEastAsia" w:hAnsiTheme="minorEastAsia"/>
          <w:sz w:val="28"/>
          <w:szCs w:val="28"/>
        </w:rPr>
        <w:t>”政策体系中定位分析任务的能力；</w:t>
      </w:r>
    </w:p>
    <w:p w14:paraId="64D686C4">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在产业经济与能源政策协调研究领域具有</w:t>
      </w:r>
      <w:r>
        <w:rPr>
          <w:rFonts w:cs="Times New Roman" w:asciiTheme="minorEastAsia" w:hAnsiTheme="minorEastAsia"/>
          <w:sz w:val="28"/>
          <w:szCs w:val="28"/>
        </w:rPr>
        <w:t>5</w:t>
      </w:r>
      <w:r>
        <w:rPr>
          <w:rFonts w:hint="eastAsia" w:cs="Times New Roman" w:asciiTheme="minorEastAsia" w:hAnsiTheme="minorEastAsia"/>
          <w:sz w:val="28"/>
          <w:szCs w:val="28"/>
        </w:rPr>
        <w:t>年以上工作经历，或曾以主要技术人员身份参与过相关研究项目，具备承担碳定价政策与经济发展相关政策相互作用分析任务的能力；</w:t>
      </w:r>
    </w:p>
    <w:p w14:paraId="067723BE">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在碳市场建模与碳中和路径分析领域具有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年以上工作经历，或曾以主要技术人员身份参与过相关研究项目，具备承担碳定价对碳中和目标贡献分析任务的能力；</w:t>
      </w:r>
    </w:p>
    <w:p w14:paraId="6C9BDD53">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在政策协调与制度设计研究领域具有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年以上工作经历，或曾以主要技术人员身份参与过相关研究项目，具备承担政策跨部门协调建议制定任务的能力；</w:t>
      </w:r>
    </w:p>
    <w:p w14:paraId="355E4F7A">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在碳定价机制分析、宏观经济影响评估、政策协调效应分析等方面具有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年以上工作经验，或曾参与省部级以上碳定价、环境经济或产业政策研究项目；</w:t>
      </w:r>
    </w:p>
    <w:p w14:paraId="11A00530">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在钢铁、水泥、铝冶炼等已扩围行业及石化、化工、造纸、航空等拟扩围行业的政策或碳排放管理领域具有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年以上工作经验，或曾参与行业层面政策分析项目；</w:t>
      </w:r>
    </w:p>
    <w:p w14:paraId="0071C7E4">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在绿色金融或碳金融领域具有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年以上工作经验，熟悉绿色金融工具与碳定价机制的协同关系，或曾参与绿色金融与碳市场交叉领域研究项目；</w:t>
      </w:r>
    </w:p>
    <w:p w14:paraId="7CB33115">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在环境税、碳税或低碳技术税收优惠等财税政策领域具有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年以上工作经验，或参与过相关财税领域研究项目；</w:t>
      </w:r>
    </w:p>
    <w:p w14:paraId="6792CD6F">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在国际碳定价政策研究领域有</w:t>
      </w:r>
      <w:r>
        <w:rPr>
          <w:rFonts w:cs="Times New Roman" w:asciiTheme="minorEastAsia" w:hAnsiTheme="minorEastAsia"/>
          <w:sz w:val="28"/>
          <w:szCs w:val="28"/>
        </w:rPr>
        <w:t>3</w:t>
      </w:r>
      <w:r>
        <w:rPr>
          <w:rFonts w:hint="eastAsia" w:cs="Times New Roman" w:asciiTheme="minorEastAsia" w:hAnsiTheme="minorEastAsia"/>
          <w:sz w:val="28"/>
          <w:szCs w:val="28"/>
        </w:rPr>
        <w:t>年以上工作经验，具备以英文开展研究工作的能力；</w:t>
      </w:r>
    </w:p>
    <w:p w14:paraId="5FBDEB5B">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曾参与国家级气候政策、碳定价机制或相关领域政策建议文件起草工作，熟悉向国家部委报送政策建议文件的工作流程、格式规范与内容要求，具备将研究成果转化为可供部级领导决策参考的建议性监管框架和政策建议文件的能力；</w:t>
      </w:r>
    </w:p>
    <w:p w14:paraId="04D72B0F">
      <w:pPr>
        <w:numPr>
          <w:ilvl w:val="0"/>
          <w:numId w:val="6"/>
        </w:numPr>
        <w:spacing w:before="156" w:beforeLines="50" w:after="156" w:afterLines="50"/>
        <w:rPr>
          <w:rFonts w:cs="Times New Roman" w:asciiTheme="minorEastAsia" w:hAnsiTheme="minorEastAsia"/>
          <w:sz w:val="28"/>
          <w:szCs w:val="28"/>
        </w:rPr>
      </w:pPr>
      <w:r>
        <w:rPr>
          <w:rFonts w:hint="eastAsia" w:cs="Times New Roman" w:asciiTheme="minorEastAsia" w:hAnsiTheme="minorEastAsia"/>
          <w:sz w:val="28"/>
          <w:szCs w:val="28"/>
        </w:rPr>
        <w:t>根据研究工作实际需要，配备在相关研究领域具有</w:t>
      </w:r>
      <w:r>
        <w:rPr>
          <w:rFonts w:cs="Times New Roman" w:asciiTheme="minorEastAsia" w:hAnsiTheme="minorEastAsia"/>
          <w:sz w:val="28"/>
          <w:szCs w:val="28"/>
        </w:rPr>
        <w:t>2</w:t>
      </w:r>
      <w:r>
        <w:rPr>
          <w:rFonts w:hint="eastAsia" w:cs="Times New Roman" w:asciiTheme="minorEastAsia" w:hAnsiTheme="minorEastAsia"/>
          <w:sz w:val="28"/>
          <w:szCs w:val="28"/>
        </w:rPr>
        <w:t>年以上工作经验的成员，具备承担资料收集、数据分析、报告撰写等技术支持工作的能力。</w:t>
      </w:r>
    </w:p>
    <w:p w14:paraId="798CC46B">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c. </w:t>
      </w:r>
      <w:r>
        <w:rPr>
          <w:rFonts w:hint="eastAsia" w:cs="Times New Roman" w:asciiTheme="minorEastAsia" w:hAnsiTheme="minorEastAsia"/>
          <w:sz w:val="28"/>
          <w:szCs w:val="28"/>
        </w:rPr>
        <w:t>环境社会专家（2人）</w:t>
      </w:r>
    </w:p>
    <w:p w14:paraId="7E6086DD">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配备环境专家和社会专家各1人。专家须熟悉世界银行《环境和社会框架》（ESF）相关政策要求，具有不少于5年的宏观政策环境社会影响评估经验，尤其具备气候政策、能源政策或碳定价相关领域的分析背景。社会专家须具备就业影响评估、分配效应分析或弱势群体研究的专业能力。专家主要职责包括：评估各交付成果所提政策建议可能产生的下游环境和社会影响，重点分析对高碳行业就业、中小企业经营负担、低收入家庭能源支出及欠发达地区发展差距的影响；在各交付成果中撰写专项E&amp;S分析章节；协助制定和实施利益相关方磋商及信息公开计划；接受项目管理办公室环境社会专家的监督和指导。</w:t>
      </w:r>
    </w:p>
    <w:p w14:paraId="0A91AA04">
      <w:pPr>
        <w:spacing w:before="156" w:beforeLines="50" w:after="156" w:afterLines="50"/>
        <w:ind w:firstLine="560" w:firstLineChars="200"/>
        <w:rPr>
          <w:rFonts w:cs="Times New Roman" w:asciiTheme="minorEastAsia" w:hAnsiTheme="minorEastAsia"/>
          <w:sz w:val="28"/>
          <w:szCs w:val="28"/>
        </w:rPr>
      </w:pPr>
      <w:r>
        <w:rPr>
          <w:rFonts w:cs="Times New Roman" w:asciiTheme="minorEastAsia" w:hAnsiTheme="minorEastAsia"/>
          <w:sz w:val="28"/>
          <w:szCs w:val="28"/>
        </w:rPr>
        <w:t xml:space="preserve">d. </w:t>
      </w:r>
      <w:r>
        <w:rPr>
          <w:rFonts w:hint="eastAsia" w:cs="Times New Roman" w:asciiTheme="minorEastAsia" w:hAnsiTheme="minorEastAsia"/>
          <w:sz w:val="28"/>
          <w:szCs w:val="28"/>
        </w:rPr>
        <w:t>财务管理（</w:t>
      </w:r>
      <w:r>
        <w:rPr>
          <w:rFonts w:cs="Times New Roman" w:asciiTheme="minorEastAsia" w:hAnsiTheme="minorEastAsia"/>
          <w:sz w:val="28"/>
          <w:szCs w:val="28"/>
        </w:rPr>
        <w:t>1</w:t>
      </w:r>
      <w:r>
        <w:rPr>
          <w:rFonts w:hint="eastAsia" w:cs="Times New Roman" w:asciiTheme="minorEastAsia" w:hAnsiTheme="minorEastAsia"/>
          <w:sz w:val="28"/>
          <w:szCs w:val="28"/>
        </w:rPr>
        <w:t>人）</w:t>
      </w:r>
    </w:p>
    <w:p w14:paraId="530CBC7D">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按照世界银行相关政策要求，负责本项目财务日常管理、编制项目财务报告，并配合提交项目监督管理及审计所需的所有资料。</w:t>
      </w:r>
    </w:p>
    <w:p w14:paraId="530CBC7E">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环境社会风险要求</w:t>
      </w:r>
    </w:p>
    <w:p w14:paraId="530CBC7F">
      <w:pPr>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咨询服务分包项目的设计和实施，应依据世界银行《环境和社会管理框架》及世界银行的《技术援助与环境社会框架指南》中的相关要求，按照项目的《环境社会管理框架》中制定的环境社会管理程序对分包任务所涉及的潜在环境和社会风险及影响进行筛选</w:t>
      </w:r>
      <w:r>
        <w:rPr>
          <w:rFonts w:cs="Times New Roman" w:asciiTheme="minorEastAsia" w:hAnsiTheme="minorEastAsia"/>
          <w:sz w:val="28"/>
          <w:szCs w:val="28"/>
        </w:rPr>
        <w:t>/</w:t>
      </w:r>
      <w:r>
        <w:rPr>
          <w:rFonts w:hint="eastAsia" w:cs="Times New Roman" w:asciiTheme="minorEastAsia" w:hAnsiTheme="minorEastAsia"/>
          <w:sz w:val="28"/>
          <w:szCs w:val="28"/>
        </w:rPr>
        <w:t>分析和评价，并提出应对措施和建议，确保项目活动及产出符合项目制定的环境社会管理框架（</w:t>
      </w:r>
      <w:r>
        <w:rPr>
          <w:rFonts w:cs="Times New Roman" w:asciiTheme="minorEastAsia" w:hAnsiTheme="minorEastAsia"/>
          <w:sz w:val="28"/>
          <w:szCs w:val="28"/>
        </w:rPr>
        <w:t>ESMF</w:t>
      </w:r>
      <w:r>
        <w:rPr>
          <w:rFonts w:hint="eastAsia" w:cs="Times New Roman" w:asciiTheme="minorEastAsia" w:hAnsiTheme="minorEastAsia"/>
          <w:sz w:val="28"/>
          <w:szCs w:val="28"/>
        </w:rPr>
        <w:t>）、环境和社会承诺计划（</w:t>
      </w:r>
      <w:r>
        <w:rPr>
          <w:rFonts w:cs="Times New Roman" w:asciiTheme="minorEastAsia" w:hAnsiTheme="minorEastAsia"/>
          <w:sz w:val="28"/>
          <w:szCs w:val="28"/>
        </w:rPr>
        <w:t>ESCP</w:t>
      </w:r>
      <w:r>
        <w:rPr>
          <w:rFonts w:hint="eastAsia" w:cs="Times New Roman" w:asciiTheme="minorEastAsia" w:hAnsiTheme="minorEastAsia"/>
          <w:sz w:val="28"/>
          <w:szCs w:val="28"/>
        </w:rPr>
        <w:t>）及利益相关方参与计划（</w:t>
      </w:r>
      <w:r>
        <w:rPr>
          <w:rFonts w:cs="Times New Roman" w:asciiTheme="minorEastAsia" w:hAnsiTheme="minorEastAsia"/>
          <w:sz w:val="28"/>
          <w:szCs w:val="28"/>
        </w:rPr>
        <w:t>SEP</w:t>
      </w:r>
      <w:r>
        <w:rPr>
          <w:rFonts w:hint="eastAsia" w:cs="Times New Roman" w:asciiTheme="minorEastAsia" w:hAnsiTheme="minorEastAsia"/>
          <w:sz w:val="28"/>
          <w:szCs w:val="28"/>
        </w:rPr>
        <w:t>）的相关要求。</w:t>
      </w:r>
    </w:p>
    <w:p w14:paraId="530CBC80">
      <w:pPr>
        <w:ind w:firstLine="420" w:firstLineChars="150"/>
        <w:rPr>
          <w:rFonts w:cs="Times New Roman" w:asciiTheme="minorEastAsia" w:hAnsiTheme="minorEastAsia"/>
          <w:sz w:val="28"/>
          <w:szCs w:val="28"/>
        </w:rPr>
      </w:pPr>
      <w:r>
        <w:rPr>
          <w:rFonts w:hint="eastAsia" w:cs="Times New Roman" w:asciiTheme="minorEastAsia" w:hAnsiTheme="minorEastAsia"/>
          <w:sz w:val="28"/>
          <w:szCs w:val="28"/>
        </w:rPr>
        <w:t>根据</w:t>
      </w:r>
      <w:r>
        <w:rPr>
          <w:rFonts w:cs="Times New Roman" w:asciiTheme="minorEastAsia" w:hAnsiTheme="minorEastAsia"/>
          <w:sz w:val="28"/>
          <w:szCs w:val="28"/>
        </w:rPr>
        <w:t>PMO</w:t>
      </w:r>
      <w:r>
        <w:rPr>
          <w:rFonts w:hint="eastAsia" w:cs="Times New Roman" w:asciiTheme="minorEastAsia" w:hAnsiTheme="minorEastAsia"/>
          <w:sz w:val="28"/>
          <w:szCs w:val="28"/>
        </w:rPr>
        <w:t>所聘请的环境社会专家的意见，确定本分包任务所需要准备的环境、社会文件的类型及要求（文件类型指的是根据研究课题的类型准备相应文件）。</w:t>
      </w:r>
    </w:p>
    <w:p w14:paraId="530CBC81">
      <w:pPr>
        <w:ind w:firstLine="420" w:firstLineChars="150"/>
        <w:rPr>
          <w:rFonts w:cs="Times New Roman" w:asciiTheme="minorEastAsia" w:hAnsiTheme="minorEastAsia"/>
          <w:sz w:val="28"/>
          <w:szCs w:val="28"/>
        </w:rPr>
      </w:pPr>
      <w:r>
        <w:rPr>
          <w:rFonts w:hint="eastAsia" w:cs="Times New Roman" w:asciiTheme="minorEastAsia" w:hAnsiTheme="minorEastAsia"/>
          <w:sz w:val="28"/>
          <w:szCs w:val="28"/>
        </w:rPr>
        <w:t>按照世行《技术援助与环境社会框架指南》确定是否需要编制单独的环境社会评价文件包括规划评价或战略评价报告，还是可以仅作为研究报告的一个章节。</w:t>
      </w:r>
    </w:p>
    <w:p w14:paraId="530CBC82">
      <w:pPr>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在环境社会专家的指导下，根据本项目活动所涉及的环境社会风险类型，并结合项目活动本身需要，召开项目利益相关方磋商会、咨询会、培训会、宣贯会及研讨会等，制定并实施信息公开计划及公众参与计划；同时根据要求，参加世界银行及</w:t>
      </w:r>
      <w:r>
        <w:rPr>
          <w:rFonts w:cs="Times New Roman" w:asciiTheme="minorEastAsia" w:hAnsiTheme="minorEastAsia"/>
          <w:sz w:val="28"/>
          <w:szCs w:val="28"/>
        </w:rPr>
        <w:t>PMO</w:t>
      </w:r>
      <w:r>
        <w:rPr>
          <w:rFonts w:hint="eastAsia" w:cs="Times New Roman" w:asciiTheme="minorEastAsia" w:hAnsiTheme="minorEastAsia"/>
          <w:sz w:val="28"/>
          <w:szCs w:val="28"/>
        </w:rPr>
        <w:t>组织的相关环境社会风险类会议。</w:t>
      </w:r>
    </w:p>
    <w:p w14:paraId="530CBC83">
      <w:pPr>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根据</w:t>
      </w:r>
      <w:r>
        <w:rPr>
          <w:rFonts w:cs="Times New Roman" w:asciiTheme="minorEastAsia" w:hAnsiTheme="minorEastAsia"/>
          <w:sz w:val="28"/>
          <w:szCs w:val="28"/>
        </w:rPr>
        <w:t>PMO</w:t>
      </w:r>
      <w:r>
        <w:rPr>
          <w:rFonts w:hint="eastAsia" w:cs="Times New Roman" w:asciiTheme="minorEastAsia" w:hAnsiTheme="minorEastAsia"/>
          <w:sz w:val="28"/>
          <w:szCs w:val="28"/>
        </w:rPr>
        <w:t>要求，每半年提供本分包项目在环境社会风险方面所开展的工作进展，并接受</w:t>
      </w:r>
      <w:r>
        <w:rPr>
          <w:rFonts w:cs="Times New Roman" w:asciiTheme="minorEastAsia" w:hAnsiTheme="minorEastAsia"/>
          <w:sz w:val="28"/>
          <w:szCs w:val="28"/>
        </w:rPr>
        <w:t>PMO</w:t>
      </w:r>
      <w:r>
        <w:rPr>
          <w:rFonts w:hint="eastAsia" w:cs="Times New Roman" w:asciiTheme="minorEastAsia" w:hAnsiTheme="minorEastAsia"/>
          <w:sz w:val="28"/>
          <w:szCs w:val="28"/>
        </w:rPr>
        <w:t>及其所聘请环境社会专家的监督和指导。</w:t>
      </w:r>
    </w:p>
    <w:p w14:paraId="3288FF2B">
      <w:pPr>
        <w:ind w:firstLine="560"/>
        <w:rPr>
          <w:rFonts w:cs="Times New Roman" w:asciiTheme="minorEastAsia" w:hAnsiTheme="minorEastAsia"/>
          <w:sz w:val="28"/>
          <w:szCs w:val="28"/>
        </w:rPr>
      </w:pPr>
      <w:r>
        <w:rPr>
          <w:rFonts w:hint="eastAsia" w:cs="Times New Roman" w:asciiTheme="minorEastAsia" w:hAnsiTheme="minorEastAsia"/>
          <w:sz w:val="28"/>
          <w:szCs w:val="28"/>
        </w:rPr>
        <w:t>所有交付成果须包含专项环境与社会影响分析章节，内容须完整涵盖以下要素：</w:t>
      </w:r>
    </w:p>
    <w:p w14:paraId="7E0FF8AD">
      <w:pPr>
        <w:ind w:firstLine="560"/>
        <w:rPr>
          <w:rFonts w:cs="Times New Roman" w:asciiTheme="minorEastAsia" w:hAnsiTheme="minorEastAsia"/>
          <w:sz w:val="28"/>
          <w:szCs w:val="28"/>
        </w:rPr>
      </w:pPr>
      <w:r>
        <w:rPr>
          <w:rFonts w:hint="eastAsia" w:cs="Times New Roman" w:asciiTheme="minorEastAsia" w:hAnsiTheme="minorEastAsia"/>
          <w:sz w:val="28"/>
          <w:szCs w:val="28"/>
        </w:rPr>
        <w:t>（1）政策传导路径识别：梳理本交付成果所提出的碳定价政策建议在被采纳实施后的主要传导路径，识别可能对宏观经济、行业结构、区域发展及社会群体产生间接影响的关键节点；</w:t>
      </w:r>
    </w:p>
    <w:p w14:paraId="32710E75">
      <w:pPr>
        <w:ind w:firstLine="560"/>
        <w:rPr>
          <w:rFonts w:cs="Times New Roman" w:asciiTheme="minorEastAsia" w:hAnsiTheme="minorEastAsia"/>
          <w:sz w:val="28"/>
          <w:szCs w:val="28"/>
        </w:rPr>
      </w:pPr>
      <w:r>
        <w:rPr>
          <w:rFonts w:hint="eastAsia" w:cs="Times New Roman" w:asciiTheme="minorEastAsia" w:hAnsiTheme="minorEastAsia"/>
          <w:sz w:val="28"/>
          <w:szCs w:val="28"/>
        </w:rPr>
        <w:t>（2）差异化影响分析：在传导路径识别的基础上，专项评估上述政策对以下群体的差异化影响：高碳行业（如钢铁、水泥、电力等）从业人员的就业与收入冲击；受碳价负担传导影响的中小企业经营压力；低收入家庭及能源贫困群体的能源支出负担；以及资源型、煤炭依赖型欠发达地区的区域发展不平衡风险；</w:t>
      </w:r>
    </w:p>
    <w:p w14:paraId="58D34C8E">
      <w:pPr>
        <w:ind w:firstLine="560"/>
        <w:rPr>
          <w:rFonts w:cs="Times New Roman" w:asciiTheme="minorEastAsia" w:hAnsiTheme="minorEastAsia"/>
          <w:sz w:val="28"/>
          <w:szCs w:val="28"/>
        </w:rPr>
      </w:pPr>
      <w:r>
        <w:rPr>
          <w:rFonts w:hint="eastAsia" w:cs="Times New Roman" w:asciiTheme="minorEastAsia" w:hAnsiTheme="minorEastAsia"/>
          <w:sz w:val="28"/>
          <w:szCs w:val="28"/>
        </w:rPr>
        <w:t>（3）缓解措施建议：针对已识别的下游影响，提出具体、可操作的缓解和补偿机制建议，包括但不限于公正转型支持政策、受影响群体再培训和再就业安排、对弱势群体的碳价收入返还机制，以及欠发达地区的差异化政策过渡安排。</w:t>
      </w:r>
    </w:p>
    <w:p w14:paraId="1F30A5AC">
      <w:pPr>
        <w:ind w:firstLine="560"/>
        <w:rPr>
          <w:rFonts w:cs="Times New Roman" w:asciiTheme="minorEastAsia" w:hAnsiTheme="minorEastAsia"/>
          <w:sz w:val="28"/>
          <w:szCs w:val="28"/>
        </w:rPr>
      </w:pPr>
      <w:r>
        <w:rPr>
          <w:rFonts w:hint="eastAsia" w:cs="Times New Roman" w:asciiTheme="minorEastAsia" w:hAnsiTheme="minorEastAsia"/>
          <w:sz w:val="28"/>
          <w:szCs w:val="28"/>
        </w:rPr>
        <w:t>上述章节的篇幅应与所涉交付成果的政策复杂程度相适应，原则上不少于两（2）页；对于涉及重大政策建议的交付成果（尤其是4.5建议性监管框架），应根据项目管理办公室环境社会专家的意见，考虑编制独立的环境社会评价文件。</w:t>
      </w:r>
    </w:p>
    <w:p w14:paraId="530CBC84">
      <w:pPr>
        <w:pStyle w:val="3"/>
        <w:rPr>
          <w:rFonts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采购方式</w:t>
      </w:r>
    </w:p>
    <w:p w14:paraId="488B47A3">
      <w:pPr>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本项目分包工作任务拟采用基于咨询顾问资历的选择（</w:t>
      </w:r>
      <w:r>
        <w:rPr>
          <w:rFonts w:cs="Times New Roman" w:asciiTheme="minorEastAsia" w:hAnsiTheme="minorEastAsia"/>
          <w:sz w:val="28"/>
          <w:szCs w:val="28"/>
        </w:rPr>
        <w:t>CQS</w:t>
      </w:r>
      <w:r>
        <w:rPr>
          <w:rFonts w:hint="eastAsia" w:cs="Times New Roman" w:asciiTheme="minorEastAsia" w:hAnsiTheme="minorEastAsia"/>
          <w:sz w:val="28"/>
          <w:szCs w:val="28"/>
        </w:rPr>
        <w:t>）方式进行采购。</w:t>
      </w:r>
    </w:p>
    <w:sectPr>
      <w:footerReference r:id="rId6" w:type="firs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5924449-FDC7-4BFE-BEFA-A6020821B8FB}"/>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2" w:fontKey="{D9D958CD-19F0-42ED-B715-7EB5ECEF0C9C}"/>
  </w:font>
  <w:font w:name="Aptos">
    <w:panose1 w:val="020B0004020202020204"/>
    <w:charset w:val="00"/>
    <w:family w:val="swiss"/>
    <w:pitch w:val="default"/>
    <w:sig w:usb0="20000287" w:usb1="00000003" w:usb2="00000000" w:usb3="00000000" w:csb0="2000019F" w:csb1="00000000"/>
    <w:embedRegular r:id="rId3" w:fontKey="{722D9214-CAA4-4FE6-83EB-9EB2416FFEEE}"/>
  </w:font>
  <w:font w:name="WPSEMBED3">
    <w:panose1 w:val="020B0004020202020204"/>
    <w:charset w:val="00"/>
    <w:family w:val="auto"/>
    <w:pitch w:val="default"/>
    <w:sig w:usb0="20000287" w:usb1="0000000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BC8A">
    <w:pPr>
      <w:pStyle w:val="7"/>
    </w:pPr>
    <w: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bottom</wp:align>
              </wp:positionV>
              <wp:extent cx="1170305" cy="345440"/>
              <wp:effectExtent l="0" t="0" r="0" b="0"/>
              <wp:wrapNone/>
              <wp:docPr id="1036666570" name="Text Box 3"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0224AC4F">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3" o:spid="_x0000_s1026" o:spt="202" alt="Official Use Only" type="#_x0000_t202" style="position:absolute;left:0pt;height:27.2pt;width:92.15pt;mso-position-horizontal:right;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uJL3bVAAAABAEAAA8AAAAAAAAAAQAgAAAAIgAAAGRycy9kb3du&#10;cmV2LnhtbFBLAQIUABQAAAAIAIdO4kB2+FEXOwIAAHcEAAAOAAAAAAAAAAEAIAAAACQBAABkcnMv&#10;ZTJvRG9jLnhtbFBLBQYAAAAABgAGAFkBAADRBQAAAAA=&#10;">
              <v:fill on="f" focussize="0,0"/>
              <v:stroke on="f"/>
              <v:imagedata o:title=""/>
              <o:lock v:ext="edit" aspectratio="f"/>
              <v:textbox inset="0mm,0mm,20pt,15pt" style="mso-fit-shape-to-text:t;">
                <w:txbxContent>
                  <w:p w14:paraId="0224AC4F">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BC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0CBC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C2AB">
    <w:pPr>
      <w:pStyle w:val="7"/>
    </w:pPr>
    <w: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bottom</wp:align>
              </wp:positionV>
              <wp:extent cx="1170305" cy="345440"/>
              <wp:effectExtent l="0" t="0" r="0" b="0"/>
              <wp:wrapNone/>
              <wp:docPr id="232664313" name="Text Box 2"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01D42BB5">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2" o:spid="_x0000_s1026" o:spt="202" alt="Official Use Only" type="#_x0000_t202" style="position:absolute;left:0pt;height:27.2pt;width:92.15pt;mso-position-horizontal:righ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iS921QAAAAQBAAAPAAAAAAAAAAEAIAAAACIAAABkcnMvZG93&#10;bnJldi54bWxQSwECFAAUAAAACACHTuJAUiJ6rzwCAAB2BAAADgAAAAAAAAABACAAAAAkAQAAZHJz&#10;L2Uyb0RvYy54bWxQSwUGAAAAAAYABgBZAQAA0gUAAAAA&#10;">
              <v:fill on="f" focussize="0,0"/>
              <v:stroke on="f"/>
              <v:imagedata o:title=""/>
              <o:lock v:ext="edit" aspectratio="f"/>
              <v:textbox inset="0mm,0mm,20pt,15pt" style="mso-fit-shape-to-text:t;">
                <w:txbxContent>
                  <w:p w14:paraId="01D42BB5">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8683">
    <w:pPr>
      <w:pStyle w:val="7"/>
    </w:pPr>
    <w:r>
      <mc:AlternateContent>
        <mc:Choice Requires="wps">
          <w:drawing>
            <wp:anchor distT="0" distB="0" distL="0" distR="0" simplePos="0" relativeHeight="251661312" behindDoc="0" locked="0" layoutInCell="1" allowOverlap="1">
              <wp:simplePos x="0" y="0"/>
              <wp:positionH relativeFrom="page">
                <wp:align>right</wp:align>
              </wp:positionH>
              <wp:positionV relativeFrom="page">
                <wp:align>bottom</wp:align>
              </wp:positionV>
              <wp:extent cx="1170305" cy="345440"/>
              <wp:effectExtent l="0" t="0" r="0" b="0"/>
              <wp:wrapNone/>
              <wp:docPr id="317721332" name="Text Box 1"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660BC2F6">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1" o:spid="_x0000_s1026" o:spt="202" alt="Official Use Only" type="#_x0000_t202" style="position:absolute;left:0pt;height:27.2pt;width:92.15pt;mso-position-horizontal:righ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4kvdtUAAAAEAQAADwAAAAAAAAABACAAAAAiAAAAZHJzL2Rv&#10;d25yZXYueG1sUEsBAhQAFAAAAAgAh07iQMP0tjI9AgAAdgQAAA4AAAAAAAAAAQAgAAAAJAEAAGRy&#10;cy9lMm9Eb2MueG1sUEsFBgAAAAAGAAYAWQEAANMFAAAAAA==&#10;">
              <v:fill on="f" focussize="0,0"/>
              <v:stroke on="f"/>
              <v:imagedata o:title=""/>
              <o:lock v:ext="edit" aspectratio="f"/>
              <v:textbox inset="0mm,0mm,20pt,15pt" style="mso-fit-shape-to-text:t;">
                <w:txbxContent>
                  <w:p w14:paraId="660BC2F6">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7E7FFA03">
      <w:pPr>
        <w:pStyle w:val="9"/>
      </w:pPr>
      <w:r>
        <w:rPr>
          <w:rStyle w:val="16"/>
        </w:rPr>
        <w:footnoteRef/>
      </w:r>
      <w:r>
        <w:t xml:space="preserve"> </w:t>
      </w:r>
      <w:r>
        <w:rPr>
          <w:rFonts w:hint="eastAsia"/>
        </w:rPr>
        <w:t>国务院新闻办公室发布《碳达峰碳中和的中国行动》白皮书表述，碳达峰碳中和“1+N”政策体系：</w:t>
      </w:r>
    </w:p>
    <w:p w14:paraId="22DB8995">
      <w:pPr>
        <w:pStyle w:val="9"/>
      </w:pPr>
      <w:r>
        <w:rPr>
          <w:rFonts w:hint="eastAsia"/>
        </w:rPr>
        <w:t>“1”是中国实现碳达峰碳中和的指导思想和顶层设计。国家层面出台了《关于完整准确全面贯彻新发展理念做好碳达峰碳中和工作的意见》和《2030年前碳达峰行动方案》，对碳达峰碳中和工作进行系统谋划和总体部署，部署了能源绿色低碳转型行动、节能降碳增效行动、工业领域碳达峰行动、城乡建设碳达峰行动、交通运输绿色低碳行动、循环经济助力降碳行动、绿色低碳科技创新行动、碳汇能力巩固提升行动、绿色低碳全民行动、各地区梯次有序碳达峰行动等“碳达峰十大行动”。</w:t>
      </w:r>
    </w:p>
    <w:p w14:paraId="530CBC8D">
      <w:pPr>
        <w:pStyle w:val="9"/>
      </w:pPr>
      <w:r>
        <w:rPr>
          <w:rFonts w:hint="eastAsia"/>
        </w:rPr>
        <w:t>“N”是重点行业、领域和各地区碳达峰碳中和实施方案。有关部门出台能源、工业、交通运输、城乡建设、农业农村等重点领域碳达峰实施方案，煤炭、石油、天然气、钢铁、有色金属、石化化工、建材等重点行业碳达峰实施方案，科技支撑、财政支持、绿色金融、绿色消费、生态碳汇、减污降碳、统计核算、标准计量、人才培养、干部培训等碳达峰碳中和支撑保障方案。31个省（区、市）出台了本地区碳达峰实施方案。https://www.mee.gov.cn/ywgz/ydqhbh/qhbhlf/202511/t20251108_1132414.shtml</w:t>
      </w:r>
    </w:p>
  </w:footnote>
  <w:footnote w:id="1">
    <w:p w14:paraId="1BD3467F">
      <w:pPr>
        <w:pStyle w:val="9"/>
      </w:pPr>
      <w:r>
        <w:rPr>
          <w:rStyle w:val="16"/>
        </w:rPr>
        <w:footnoteRef/>
      </w:r>
      <w:r>
        <w:t xml:space="preserve"> </w:t>
      </w:r>
      <w:r>
        <w:rPr>
          <w:rFonts w:hint="eastAsia"/>
        </w:rPr>
        <w:t>鉴于目前中国未征收碳税，本分包任务涉及碳税的内容仅作研究探讨。</w:t>
      </w:r>
    </w:p>
  </w:footnote>
  <w:footnote w:id="2">
    <w:p w14:paraId="530CBC8E">
      <w:pPr>
        <w:pStyle w:val="9"/>
      </w:pPr>
      <w:r>
        <w:rPr>
          <w:rStyle w:val="16"/>
        </w:rPr>
        <w:footnoteRef/>
      </w:r>
      <w:r>
        <w:t xml:space="preserve"> </w:t>
      </w:r>
      <w:r>
        <w:rPr>
          <w:rFonts w:hint="eastAsia" w:ascii="Times New Roman" w:hAnsi="Times New Roman" w:cs="Segoe UI"/>
          <w:color w:val="0F1115"/>
          <w:shd w:val="clear" w:color="auto" w:fill="FFFFFF"/>
        </w:rPr>
        <w:t>中国市场伙伴实施基金赠款项目（P504267）的项目文件。</w:t>
      </w:r>
    </w:p>
  </w:footnote>
  <w:footnote w:id="3">
    <w:p w14:paraId="530CBC8F">
      <w:pPr>
        <w:pStyle w:val="9"/>
      </w:pPr>
      <w:r>
        <w:rPr>
          <w:rStyle w:val="16"/>
        </w:rPr>
        <w:footnoteRef/>
      </w:r>
      <w:r>
        <w:t xml:space="preserve"> </w:t>
      </w:r>
      <w:r>
        <w:rPr>
          <w:rFonts w:ascii="Times New Roman" w:hAnsi="Times New Roman" w:cs="Segoe UI"/>
          <w:color w:val="0F1115"/>
          <w:szCs w:val="18"/>
          <w:shd w:val="clear" w:color="auto" w:fill="FFFFFF"/>
        </w:rPr>
        <w:t>PMI‑2分包</w:t>
      </w:r>
      <w:r>
        <w:rPr>
          <w:rFonts w:hint="eastAsia" w:ascii="Times New Roman" w:hAnsi="Times New Roman" w:cs="Segoe UI"/>
          <w:color w:val="0F1115"/>
          <w:szCs w:val="18"/>
          <w:shd w:val="clear" w:color="auto" w:fill="FFFFFF"/>
        </w:rPr>
        <w:t>任务</w:t>
      </w:r>
      <w:r>
        <w:rPr>
          <w:rFonts w:ascii="Times New Roman" w:hAnsi="Times New Roman" w:cs="Segoe UI"/>
          <w:color w:val="0F1115"/>
          <w:szCs w:val="18"/>
          <w:shd w:val="clear" w:color="auto" w:fill="FFFFFF"/>
        </w:rPr>
        <w:t>旨在研究碳定价工具政策法规体系</w:t>
      </w:r>
      <w:r>
        <w:rPr>
          <w:rFonts w:hint="eastAsia" w:ascii="Times New Roman" w:hAnsi="Times New Roman" w:cs="Segoe UI"/>
          <w:color w:val="0F1115"/>
          <w:szCs w:val="18"/>
          <w:shd w:val="clear" w:color="auto" w:fill="FFFFFF"/>
        </w:rPr>
        <w:t>。</w:t>
      </w:r>
    </w:p>
  </w:footnote>
  <w:footnote w:id="4">
    <w:p w14:paraId="530CBC90">
      <w:pPr>
        <w:pStyle w:val="9"/>
      </w:pPr>
      <w:r>
        <w:rPr>
          <w:rStyle w:val="16"/>
        </w:rPr>
        <w:footnoteRef/>
      </w:r>
      <w:r>
        <w:t xml:space="preserve"> </w:t>
      </w:r>
      <w:r>
        <w:rPr>
          <w:rFonts w:hint="eastAsia" w:ascii="Times New Roman" w:hAnsi="Times New Roman"/>
        </w:rPr>
        <w:t>PMI-3分包任务旨在研究扩大ETS行业覆盖范围及完善国家ETS配额体系。</w:t>
      </w:r>
    </w:p>
  </w:footnote>
  <w:footnote w:id="5">
    <w:p w14:paraId="530CBC91">
      <w:pPr>
        <w:pStyle w:val="9"/>
      </w:pPr>
      <w:r>
        <w:rPr>
          <w:rStyle w:val="16"/>
        </w:rPr>
        <w:footnoteRef/>
      </w:r>
      <w:r>
        <w:t xml:space="preserve"> </w:t>
      </w:r>
      <w:r>
        <w:rPr>
          <w:rFonts w:ascii="Times New Roman" w:hAnsi="Times New Roman" w:cs="Segoe UI"/>
          <w:color w:val="0F1115"/>
          <w:szCs w:val="18"/>
          <w:shd w:val="clear" w:color="auto" w:fill="FFFFFF"/>
        </w:rPr>
        <w:t>PMI‑4分包</w:t>
      </w:r>
      <w:r>
        <w:rPr>
          <w:rFonts w:hint="eastAsia" w:ascii="Times New Roman" w:hAnsi="Times New Roman" w:cs="Segoe UI"/>
          <w:color w:val="0F1115"/>
          <w:szCs w:val="18"/>
          <w:shd w:val="clear" w:color="auto" w:fill="FFFFFF"/>
        </w:rPr>
        <w:t>任务</w:t>
      </w:r>
      <w:r>
        <w:rPr>
          <w:rFonts w:ascii="Times New Roman" w:hAnsi="Times New Roman" w:cs="Segoe UI"/>
          <w:color w:val="0F1115"/>
          <w:szCs w:val="18"/>
          <w:shd w:val="clear" w:color="auto" w:fill="FFFFFF"/>
        </w:rPr>
        <w:t>旨在研究提升ETS监管能力与加强数据管理平台建设、CCER制度实施效果评估及优化相关技术</w:t>
      </w:r>
      <w:r>
        <w:rPr>
          <w:rFonts w:hint="eastAsia" w:ascii="Times New Roman" w:hAnsi="Times New Roman" w:cs="Segoe UI"/>
          <w:color w:val="0F1115"/>
          <w:szCs w:val="18"/>
          <w:shd w:val="clear" w:color="auto" w:fill="FFFFFF"/>
        </w:rPr>
        <w:t>。</w:t>
      </w:r>
    </w:p>
  </w:footnote>
  <w:footnote w:id="6">
    <w:p w14:paraId="05D26903">
      <w:pPr>
        <w:pStyle w:val="9"/>
      </w:pPr>
      <w:r>
        <w:rPr>
          <w:rStyle w:val="16"/>
        </w:rPr>
        <w:footnoteRef/>
      </w:r>
      <w:r>
        <w:t xml:space="preserve"> </w:t>
      </w:r>
      <w:r>
        <w:rPr>
          <w:rFonts w:hint="eastAsia"/>
        </w:rPr>
        <w:t>PMI-15分包任务旨在研究全国温室气体自愿减排交易市场容量和价格分析预测与市场发展路线。</w:t>
      </w:r>
    </w:p>
  </w:footnote>
  <w:footnote w:id="7">
    <w:p w14:paraId="5AEA8BD3">
      <w:pPr>
        <w:pStyle w:val="9"/>
      </w:pPr>
      <w:r>
        <w:rPr>
          <w:rStyle w:val="16"/>
        </w:rPr>
        <w:footnoteRef/>
      </w:r>
      <w:r>
        <w:t xml:space="preserve"> </w:t>
      </w:r>
      <w:r>
        <w:rPr>
          <w:rFonts w:hint="eastAsia"/>
        </w:rPr>
        <w:t>PMI-16分包任务旨在研究国内碳定价工具与国际碳交易机制链接的战略评估及海外减排项目参与我国CCER相关制度框架。</w:t>
      </w:r>
    </w:p>
  </w:footnote>
  <w:footnote w:id="8">
    <w:p w14:paraId="1B9D4868">
      <w:pPr>
        <w:pStyle w:val="9"/>
      </w:pPr>
      <w:r>
        <w:rPr>
          <w:rStyle w:val="16"/>
        </w:rPr>
        <w:footnoteRef/>
      </w:r>
      <w:r>
        <w:t xml:space="preserve"> </w:t>
      </w:r>
      <w:r>
        <w:rPr>
          <w:rFonts w:hint="eastAsia"/>
        </w:rPr>
        <w:t>PMI-20分包项目旨在开展全国ETS和CCER注册登记系统运行情况分析及改进措施研究。</w:t>
      </w:r>
    </w:p>
  </w:footnote>
  <w:footnote w:id="9">
    <w:p w14:paraId="68A7FB68">
      <w:pPr>
        <w:pStyle w:val="9"/>
      </w:pPr>
      <w:r>
        <w:rPr>
          <w:rStyle w:val="16"/>
        </w:rPr>
        <w:footnoteRef/>
      </w:r>
      <w:r>
        <w:t xml:space="preserve"> </w:t>
      </w:r>
      <w:r>
        <w:rPr>
          <w:rFonts w:hint="eastAsia"/>
        </w:rPr>
        <w:t>PMI-21分包项目旨在开展全国ETS和CCER交易市场交易系统运行情况分析及改进措施研究。</w:t>
      </w:r>
    </w:p>
  </w:footnote>
  <w:footnote w:id="10">
    <w:p w14:paraId="5CC74FBE">
      <w:pPr>
        <w:pStyle w:val="9"/>
      </w:pPr>
      <w:r>
        <w:rPr>
          <w:rStyle w:val="16"/>
        </w:rPr>
        <w:footnoteRef/>
      </w:r>
      <w:r>
        <w:t xml:space="preserve"> </w:t>
      </w:r>
      <w:r>
        <w:rPr>
          <w:rFonts w:hint="eastAsia"/>
        </w:rPr>
        <w:t>PMI-22分包项目旨在开展碳税设计、实施与管理国际经验研究并提出相关政策建议。</w:t>
      </w:r>
    </w:p>
  </w:footnote>
  <w:footnote w:id="11">
    <w:p w14:paraId="555F1982">
      <w:pPr>
        <w:pStyle w:val="9"/>
      </w:pPr>
      <w:r>
        <w:rPr>
          <w:rStyle w:val="16"/>
        </w:rPr>
        <w:footnoteRef/>
      </w:r>
      <w:r>
        <w:t xml:space="preserve"> </w:t>
      </w:r>
      <w:r>
        <w:rPr>
          <w:rFonts w:hint="eastAsia"/>
        </w:rPr>
        <w:t>PMI-23分包项目旨在开展认证体系下ETS核查机构管理体系研究。</w:t>
      </w:r>
    </w:p>
  </w:footnote>
  <w:footnote w:id="12">
    <w:p w14:paraId="45DD4959">
      <w:pPr>
        <w:pStyle w:val="9"/>
      </w:pPr>
      <w:r>
        <w:rPr>
          <w:rStyle w:val="16"/>
        </w:rPr>
        <w:footnoteRef/>
      </w:r>
      <w:r>
        <w:t xml:space="preserve"> </w:t>
      </w:r>
      <w:r>
        <w:rPr>
          <w:rFonts w:hint="eastAsia"/>
        </w:rPr>
        <w:t>PMI-24分包项目旨在开展统筹国家ETS重点行业核算指南研究。</w:t>
      </w:r>
    </w:p>
  </w:footnote>
  <w:footnote w:id="13">
    <w:p w14:paraId="7CDE85E5">
      <w:pPr>
        <w:pStyle w:val="9"/>
      </w:pPr>
      <w:r>
        <w:rPr>
          <w:rStyle w:val="16"/>
        </w:rPr>
        <w:footnoteRef/>
      </w:r>
      <w:r>
        <w:t xml:space="preserve"> </w:t>
      </w:r>
      <w:r>
        <w:rPr>
          <w:rFonts w:hint="eastAsia"/>
        </w:rPr>
        <w:t>PMI-25分包项目旨在开展统筹国家ETS重点行业核查指南研究。</w:t>
      </w:r>
    </w:p>
  </w:footnote>
  <w:footnote w:id="14">
    <w:p w14:paraId="575B5EDB">
      <w:pPr>
        <w:pStyle w:val="9"/>
      </w:pPr>
      <w:r>
        <w:rPr>
          <w:rStyle w:val="16"/>
        </w:rPr>
        <w:footnoteRef/>
      </w:r>
      <w:r>
        <w:t xml:space="preserve"> </w:t>
      </w:r>
      <w:r>
        <w:rPr>
          <w:rFonts w:hint="eastAsia"/>
        </w:rPr>
        <w:t>PMI-26分包项目旨在编写中国碳市场实施成效评估年度报告。</w:t>
      </w:r>
    </w:p>
  </w:footnote>
  <w:footnote w:id="15">
    <w:p w14:paraId="11AECF1C">
      <w:pPr>
        <w:pStyle w:val="9"/>
        <w:rPr>
          <w:rFonts w:ascii="Times New Roman" w:hAnsi="Times New Roman" w:cs="Segoe UI"/>
          <w:color w:val="0F1115"/>
          <w:szCs w:val="18"/>
          <w:shd w:val="clear" w:color="auto" w:fill="FFFFFF"/>
        </w:rPr>
      </w:pPr>
      <w:r>
        <w:rPr>
          <w:rStyle w:val="16"/>
        </w:rPr>
        <w:footnoteRef/>
      </w:r>
      <w:r>
        <w:t xml:space="preserve"> </w:t>
      </w:r>
      <w:r>
        <w:rPr>
          <w:rFonts w:hint="eastAsia" w:ascii="Times New Roman" w:hAnsi="Times New Roman" w:cs="Segoe UI"/>
          <w:color w:val="0F1115"/>
          <w:szCs w:val="18"/>
          <w:shd w:val="clear" w:color="auto" w:fill="FFFFFF"/>
        </w:rPr>
        <w:t>价格发现是市场参与者通过交易行为确定资产合理价格的经济过程。这里是指通过市场交易机制形成能够反映温室气体减排边际成本或配额稀缺程度的均衡价格的过程。在碳排放权交易市场中，价格发现的核心功能是使碳价能够有效传导减排成本信号，引导市场主体形成合理预期，优化减排资源配置，并为政策制定者提供评估市场运行效率和配额分配合理性的参考依据。</w:t>
      </w:r>
    </w:p>
  </w:footnote>
  <w:footnote w:id="16">
    <w:p w14:paraId="40EB1E1A">
      <w:pPr>
        <w:rPr>
          <w:rFonts w:ascii="Times New Roman" w:hAnsi="Times New Roman" w:cs="Segoe UI"/>
          <w:color w:val="0F1115"/>
          <w:sz w:val="18"/>
          <w:szCs w:val="18"/>
          <w:shd w:val="clear" w:color="auto" w:fill="FFFFFF"/>
        </w:rPr>
      </w:pPr>
      <w:r>
        <w:rPr>
          <w:rStyle w:val="16"/>
        </w:rPr>
        <w:footnoteRef/>
      </w:r>
      <w:r>
        <w:rPr>
          <w:vertAlign w:val="superscript"/>
        </w:rPr>
        <w:t xml:space="preserve"> </w:t>
      </w:r>
      <w:r>
        <w:rPr>
          <w:rFonts w:hint="eastAsia" w:ascii="Times New Roman" w:hAnsi="Times New Roman" w:cs="Segoe UI"/>
          <w:color w:val="0F1115"/>
          <w:sz w:val="18"/>
          <w:szCs w:val="18"/>
          <w:shd w:val="clear" w:color="auto" w:fill="FFFFFF"/>
        </w:rPr>
        <w:t>项目发展目标（</w:t>
      </w:r>
      <w:r>
        <w:rPr>
          <w:rFonts w:ascii="Times New Roman" w:hAnsi="Times New Roman" w:cs="Segoe UI"/>
          <w:color w:val="0F1115"/>
          <w:sz w:val="18"/>
          <w:szCs w:val="18"/>
          <w:shd w:val="clear" w:color="auto" w:fill="FFFFFF"/>
        </w:rPr>
        <w:t>PDO</w:t>
      </w:r>
      <w:r>
        <w:rPr>
          <w:rFonts w:hint="eastAsia" w:ascii="Times New Roman" w:hAnsi="Times New Roman" w:cs="Segoe UI"/>
          <w:color w:val="0F1115"/>
          <w:sz w:val="18"/>
          <w:szCs w:val="18"/>
          <w:shd w:val="clear" w:color="auto" w:fill="FFFFFF"/>
        </w:rPr>
        <w:t>）指标</w:t>
      </w:r>
      <w:r>
        <w:rPr>
          <w:rFonts w:ascii="Times New Roman" w:hAnsi="Times New Roman" w:cs="Segoe UI"/>
          <w:color w:val="0F1115"/>
          <w:sz w:val="18"/>
          <w:szCs w:val="18"/>
          <w:shd w:val="clear" w:color="auto" w:fill="FFFFFF"/>
        </w:rPr>
        <w:t>1</w:t>
      </w:r>
      <w:r>
        <w:rPr>
          <w:rFonts w:hint="eastAsia" w:ascii="Times New Roman" w:hAnsi="Times New Roman" w:cs="Segoe UI"/>
          <w:color w:val="0F1115"/>
          <w:sz w:val="18"/>
          <w:szCs w:val="18"/>
          <w:shd w:val="clear" w:color="auto" w:fill="FFFFFF"/>
        </w:rPr>
        <w:t>要求，即关于碳定价机制与国家级气候战略协调统一的建议性监管框架和政策建议应提交至生态环境部部领导。该指标用于衡量碳定价工具政策分析工作的成效，旨在形成以下核心内容：（</w:t>
      </w:r>
      <w:r>
        <w:rPr>
          <w:rFonts w:ascii="Times New Roman" w:hAnsi="Times New Roman" w:cs="Segoe UI"/>
          <w:color w:val="0F1115"/>
          <w:sz w:val="18"/>
          <w:szCs w:val="18"/>
          <w:shd w:val="clear" w:color="auto" w:fill="FFFFFF"/>
        </w:rPr>
        <w:t>1</w:t>
      </w:r>
      <w:r>
        <w:rPr>
          <w:rFonts w:hint="eastAsia" w:ascii="Times New Roman" w:hAnsi="Times New Roman" w:cs="Segoe UI"/>
          <w:color w:val="0F1115"/>
          <w:sz w:val="18"/>
          <w:szCs w:val="18"/>
          <w:shd w:val="clear" w:color="auto" w:fill="FFFFFF"/>
        </w:rPr>
        <w:t>）碳定价工具（包括</w:t>
      </w:r>
      <w:r>
        <w:rPr>
          <w:rFonts w:ascii="Times New Roman" w:hAnsi="Times New Roman" w:cs="Segoe UI"/>
          <w:color w:val="0F1115"/>
          <w:sz w:val="18"/>
          <w:szCs w:val="18"/>
          <w:shd w:val="clear" w:color="auto" w:fill="FFFFFF"/>
        </w:rPr>
        <w:t>ETS</w:t>
      </w:r>
      <w:r>
        <w:rPr>
          <w:rFonts w:hint="eastAsia" w:ascii="Times New Roman" w:hAnsi="Times New Roman" w:cs="Segoe UI"/>
          <w:color w:val="0F1115"/>
          <w:sz w:val="18"/>
          <w:szCs w:val="18"/>
          <w:shd w:val="clear" w:color="auto" w:fill="FFFFFF"/>
        </w:rPr>
        <w:t>、</w:t>
      </w:r>
      <w:r>
        <w:rPr>
          <w:rFonts w:ascii="Times New Roman" w:hAnsi="Times New Roman" w:cs="Segoe UI"/>
          <w:color w:val="0F1115"/>
          <w:sz w:val="18"/>
          <w:szCs w:val="18"/>
          <w:shd w:val="clear" w:color="auto" w:fill="FFFFFF"/>
        </w:rPr>
        <w:t>CCER</w:t>
      </w:r>
      <w:r>
        <w:rPr>
          <w:rFonts w:hint="eastAsia" w:ascii="Times New Roman" w:hAnsi="Times New Roman" w:cs="Segoe UI"/>
          <w:color w:val="0F1115"/>
          <w:sz w:val="18"/>
          <w:szCs w:val="18"/>
          <w:shd w:val="clear" w:color="auto" w:fill="FFFFFF"/>
        </w:rPr>
        <w:t>及</w:t>
      </w:r>
      <w:r>
        <w:rPr>
          <w:rFonts w:ascii="Times New Roman" w:hAnsi="Times New Roman" w:cs="Segoe UI"/>
          <w:color w:val="0F1115"/>
          <w:sz w:val="18"/>
          <w:szCs w:val="18"/>
          <w:shd w:val="clear" w:color="auto" w:fill="FFFFFF"/>
        </w:rPr>
        <w:t>碳税选项</w:t>
      </w:r>
      <w:r>
        <w:rPr>
          <w:rFonts w:hint="eastAsia" w:ascii="Times New Roman" w:hAnsi="Times New Roman" w:cs="Segoe UI"/>
          <w:color w:val="0F1115"/>
          <w:sz w:val="18"/>
          <w:szCs w:val="18"/>
          <w:shd w:val="clear" w:color="auto" w:fill="FFFFFF"/>
        </w:rPr>
        <w:t>）在中国最新国家自主贡献目标（</w:t>
      </w:r>
      <w:r>
        <w:rPr>
          <w:rFonts w:ascii="Times New Roman" w:hAnsi="Times New Roman" w:cs="Segoe UI"/>
          <w:color w:val="0F1115"/>
          <w:sz w:val="18"/>
          <w:szCs w:val="18"/>
          <w:shd w:val="clear" w:color="auto" w:fill="FFFFFF"/>
        </w:rPr>
        <w:t>NDC</w:t>
      </w:r>
      <w:r>
        <w:rPr>
          <w:rFonts w:hint="eastAsia" w:ascii="Times New Roman" w:hAnsi="Times New Roman" w:cs="Segoe UI"/>
          <w:color w:val="0F1115"/>
          <w:sz w:val="18"/>
          <w:szCs w:val="18"/>
          <w:shd w:val="clear" w:color="auto" w:fill="FFFFFF"/>
        </w:rPr>
        <w:t>）与碳中和愿景实现进程中的总体作用定位和实施路径分析；（</w:t>
      </w:r>
      <w:r>
        <w:rPr>
          <w:rFonts w:ascii="Times New Roman" w:hAnsi="Times New Roman" w:cs="Segoe UI"/>
          <w:color w:val="0F1115"/>
          <w:sz w:val="18"/>
          <w:szCs w:val="18"/>
          <w:shd w:val="clear" w:color="auto" w:fill="FFFFFF"/>
        </w:rPr>
        <w:t>2</w:t>
      </w:r>
      <w:r>
        <w:rPr>
          <w:rFonts w:hint="eastAsia" w:ascii="Times New Roman" w:hAnsi="Times New Roman" w:cs="Segoe UI"/>
          <w:color w:val="0F1115"/>
          <w:sz w:val="18"/>
          <w:szCs w:val="18"/>
          <w:shd w:val="clear" w:color="auto" w:fill="FFFFFF"/>
        </w:rPr>
        <w:t>）关于促进经济社会发展与部门政策同碳定价政策协调统一的政策建议；（</w:t>
      </w:r>
      <w:r>
        <w:rPr>
          <w:rFonts w:ascii="Times New Roman" w:hAnsi="Times New Roman" w:cs="Segoe UI"/>
          <w:color w:val="0F1115"/>
          <w:sz w:val="18"/>
          <w:szCs w:val="18"/>
          <w:shd w:val="clear" w:color="auto" w:fill="FFFFFF"/>
        </w:rPr>
        <w:t>3</w:t>
      </w:r>
      <w:r>
        <w:rPr>
          <w:rFonts w:hint="eastAsia" w:ascii="Times New Roman" w:hAnsi="Times New Roman" w:cs="Segoe UI"/>
          <w:color w:val="0F1115"/>
          <w:sz w:val="18"/>
          <w:szCs w:val="18"/>
          <w:shd w:val="clear" w:color="auto" w:fill="FFFFFF"/>
        </w:rPr>
        <w:t>）关于完善碳定价监管框架的建议（包括制定新政策、修订既有政策等）。</w:t>
      </w:r>
    </w:p>
    <w:p w14:paraId="2B6DB072">
      <w:pPr>
        <w:pStyle w:val="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6D1D"/>
    <w:multiLevelType w:val="singleLevel"/>
    <w:tmpl w:val="849A6D1D"/>
    <w:lvl w:ilvl="0" w:tentative="0">
      <w:start w:val="1"/>
      <w:numFmt w:val="bullet"/>
      <w:lvlText w:val=""/>
      <w:lvlJc w:val="left"/>
      <w:pPr>
        <w:tabs>
          <w:tab w:val="left" w:pos="420"/>
        </w:tabs>
        <w:ind w:left="840" w:hanging="420"/>
      </w:pPr>
      <w:rPr>
        <w:rFonts w:hint="default" w:ascii="Wingdings" w:hAnsi="Wingdings"/>
      </w:rPr>
    </w:lvl>
  </w:abstractNum>
  <w:abstractNum w:abstractNumId="1">
    <w:nsid w:val="BCD2E7B6"/>
    <w:multiLevelType w:val="singleLevel"/>
    <w:tmpl w:val="BCD2E7B6"/>
    <w:lvl w:ilvl="0" w:tentative="0">
      <w:start w:val="1"/>
      <w:numFmt w:val="chineseCounting"/>
      <w:pStyle w:val="3"/>
      <w:suff w:val="nothing"/>
      <w:lvlText w:val="%1、"/>
      <w:lvlJc w:val="left"/>
      <w:pPr>
        <w:ind w:left="630"/>
      </w:pPr>
      <w:rPr>
        <w:rFonts w:hint="eastAsia" w:ascii="仿宋" w:hAnsi="仿宋" w:eastAsia="仿宋" w:cs="黑体"/>
      </w:rPr>
    </w:lvl>
  </w:abstractNum>
  <w:abstractNum w:abstractNumId="2">
    <w:nsid w:val="FFAEC15D"/>
    <w:multiLevelType w:val="multilevel"/>
    <w:tmpl w:val="FFAEC15D"/>
    <w:lvl w:ilvl="0" w:tentative="0">
      <w:start w:val="1"/>
      <w:numFmt w:val="lowerLetter"/>
      <w:lvlText w:val="%1."/>
      <w:lvlJc w:val="left"/>
      <w:pPr>
        <w:ind w:left="860" w:hanging="440"/>
      </w:pPr>
      <w:rPr>
        <w:rFonts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A8729C0"/>
    <w:multiLevelType w:val="multilevel"/>
    <w:tmpl w:val="2A8729C0"/>
    <w:lvl w:ilvl="0" w:tentative="0">
      <w:start w:val="1"/>
      <w:numFmt w:val="lowerLetter"/>
      <w:lvlText w:val="%1."/>
      <w:lvlJc w:val="left"/>
      <w:pPr>
        <w:ind w:left="860" w:hanging="440"/>
      </w:pPr>
      <w:rPr>
        <w:rFonts w:hint="default" w:cs="Times New Roman"/>
        <w:color w:val="auto"/>
      </w:rPr>
    </w:lvl>
    <w:lvl w:ilvl="1" w:tentative="0">
      <w:start w:val="1"/>
      <w:numFmt w:val="bullet"/>
      <w:lvlText w:val=""/>
      <w:lvlJc w:val="left"/>
      <w:pPr>
        <w:ind w:left="1860" w:hanging="440"/>
      </w:pPr>
      <w:rPr>
        <w:rFonts w:hint="default" w:ascii="Wingdings" w:hAnsi="Wingdings"/>
      </w:rPr>
    </w:lvl>
    <w:lvl w:ilvl="2" w:tentative="0">
      <w:start w:val="1"/>
      <w:numFmt w:val="bullet"/>
      <w:lvlText w:val=""/>
      <w:lvlJc w:val="left"/>
      <w:pPr>
        <w:ind w:left="2300" w:hanging="440"/>
      </w:pPr>
      <w:rPr>
        <w:rFonts w:hint="default" w:ascii="Wingdings" w:hAnsi="Wingdings"/>
      </w:rPr>
    </w:lvl>
    <w:lvl w:ilvl="3" w:tentative="0">
      <w:start w:val="1"/>
      <w:numFmt w:val="bullet"/>
      <w:lvlText w:val=""/>
      <w:lvlJc w:val="left"/>
      <w:pPr>
        <w:ind w:left="2740" w:hanging="440"/>
      </w:pPr>
      <w:rPr>
        <w:rFonts w:hint="default" w:ascii="Wingdings" w:hAnsi="Wingdings"/>
      </w:rPr>
    </w:lvl>
    <w:lvl w:ilvl="4" w:tentative="0">
      <w:start w:val="1"/>
      <w:numFmt w:val="bullet"/>
      <w:lvlText w:val=""/>
      <w:lvlJc w:val="left"/>
      <w:pPr>
        <w:ind w:left="3180" w:hanging="440"/>
      </w:pPr>
      <w:rPr>
        <w:rFonts w:hint="default" w:ascii="Wingdings" w:hAnsi="Wingdings"/>
      </w:rPr>
    </w:lvl>
    <w:lvl w:ilvl="5" w:tentative="0">
      <w:start w:val="1"/>
      <w:numFmt w:val="bullet"/>
      <w:lvlText w:val=""/>
      <w:lvlJc w:val="left"/>
      <w:pPr>
        <w:ind w:left="3620" w:hanging="440"/>
      </w:pPr>
      <w:rPr>
        <w:rFonts w:hint="default" w:ascii="Wingdings" w:hAnsi="Wingdings"/>
      </w:rPr>
    </w:lvl>
    <w:lvl w:ilvl="6" w:tentative="0">
      <w:start w:val="1"/>
      <w:numFmt w:val="bullet"/>
      <w:lvlText w:val=""/>
      <w:lvlJc w:val="left"/>
      <w:pPr>
        <w:ind w:left="4060" w:hanging="440"/>
      </w:pPr>
      <w:rPr>
        <w:rFonts w:hint="default" w:ascii="Wingdings" w:hAnsi="Wingdings"/>
      </w:rPr>
    </w:lvl>
    <w:lvl w:ilvl="7" w:tentative="0">
      <w:start w:val="1"/>
      <w:numFmt w:val="bullet"/>
      <w:lvlText w:val=""/>
      <w:lvlJc w:val="left"/>
      <w:pPr>
        <w:ind w:left="4500" w:hanging="440"/>
      </w:pPr>
      <w:rPr>
        <w:rFonts w:hint="default" w:ascii="Wingdings" w:hAnsi="Wingdings"/>
      </w:rPr>
    </w:lvl>
    <w:lvl w:ilvl="8" w:tentative="0">
      <w:start w:val="1"/>
      <w:numFmt w:val="bullet"/>
      <w:lvlText w:val=""/>
      <w:lvlJc w:val="left"/>
      <w:pPr>
        <w:ind w:left="4940" w:hanging="440"/>
      </w:pPr>
      <w:rPr>
        <w:rFonts w:hint="default" w:ascii="Wingdings" w:hAnsi="Wingdings"/>
      </w:rPr>
    </w:lvl>
  </w:abstractNum>
  <w:abstractNum w:abstractNumId="4">
    <w:nsid w:val="3B2C420E"/>
    <w:multiLevelType w:val="multilevel"/>
    <w:tmpl w:val="3B2C420E"/>
    <w:lvl w:ilvl="0" w:tentative="0">
      <w:start w:val="1"/>
      <w:numFmt w:val="lowerLetter"/>
      <w:lvlText w:val="%1."/>
      <w:lvlJc w:val="left"/>
      <w:pPr>
        <w:ind w:left="860" w:hanging="440"/>
      </w:pPr>
      <w:rPr>
        <w:rFonts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4C2C7380"/>
    <w:multiLevelType w:val="multilevel"/>
    <w:tmpl w:val="4C2C7380"/>
    <w:lvl w:ilvl="0" w:tentative="0">
      <w:start w:val="1"/>
      <w:numFmt w:val="bullet"/>
      <w:lvlText w:val=""/>
      <w:lvlJc w:val="left"/>
      <w:pPr>
        <w:ind w:left="1000" w:hanging="440"/>
      </w:pPr>
      <w:rPr>
        <w:rFonts w:hint="default" w:ascii="Symbol" w:hAnsi="Symbol"/>
        <w:color w:val="auto"/>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7F"/>
    <w:rsid w:val="000007BA"/>
    <w:rsid w:val="00026378"/>
    <w:rsid w:val="0003119B"/>
    <w:rsid w:val="00067FB8"/>
    <w:rsid w:val="00093D1F"/>
    <w:rsid w:val="000B3D3B"/>
    <w:rsid w:val="000C1FC0"/>
    <w:rsid w:val="000D553A"/>
    <w:rsid w:val="000E42C4"/>
    <w:rsid w:val="00107608"/>
    <w:rsid w:val="00125B9A"/>
    <w:rsid w:val="001263EE"/>
    <w:rsid w:val="00181725"/>
    <w:rsid w:val="00197F3A"/>
    <w:rsid w:val="001A6EF1"/>
    <w:rsid w:val="001B7CB4"/>
    <w:rsid w:val="001D04E6"/>
    <w:rsid w:val="001F0056"/>
    <w:rsid w:val="002136F9"/>
    <w:rsid w:val="00217315"/>
    <w:rsid w:val="00240EAF"/>
    <w:rsid w:val="002525D7"/>
    <w:rsid w:val="0027613D"/>
    <w:rsid w:val="002778DA"/>
    <w:rsid w:val="002865E7"/>
    <w:rsid w:val="0029313F"/>
    <w:rsid w:val="002D41A5"/>
    <w:rsid w:val="002E63BE"/>
    <w:rsid w:val="002F52D3"/>
    <w:rsid w:val="003002B8"/>
    <w:rsid w:val="00307F1E"/>
    <w:rsid w:val="00325AEA"/>
    <w:rsid w:val="0034155D"/>
    <w:rsid w:val="0034362C"/>
    <w:rsid w:val="003652E4"/>
    <w:rsid w:val="003671ED"/>
    <w:rsid w:val="00375EDB"/>
    <w:rsid w:val="00395090"/>
    <w:rsid w:val="003C0B13"/>
    <w:rsid w:val="003F69F1"/>
    <w:rsid w:val="004102ED"/>
    <w:rsid w:val="004167C1"/>
    <w:rsid w:val="0044432F"/>
    <w:rsid w:val="004455BF"/>
    <w:rsid w:val="00447770"/>
    <w:rsid w:val="004505C1"/>
    <w:rsid w:val="0047230D"/>
    <w:rsid w:val="00480AED"/>
    <w:rsid w:val="004B533B"/>
    <w:rsid w:val="004C488E"/>
    <w:rsid w:val="004E2EB6"/>
    <w:rsid w:val="0053518F"/>
    <w:rsid w:val="005355D6"/>
    <w:rsid w:val="00552BBD"/>
    <w:rsid w:val="00567685"/>
    <w:rsid w:val="00581D1E"/>
    <w:rsid w:val="005A5C97"/>
    <w:rsid w:val="005D7999"/>
    <w:rsid w:val="005D7A25"/>
    <w:rsid w:val="005D7C4A"/>
    <w:rsid w:val="006045B8"/>
    <w:rsid w:val="00621624"/>
    <w:rsid w:val="00632FF4"/>
    <w:rsid w:val="00652B58"/>
    <w:rsid w:val="006534AA"/>
    <w:rsid w:val="00661DB8"/>
    <w:rsid w:val="00665B08"/>
    <w:rsid w:val="00680578"/>
    <w:rsid w:val="00680785"/>
    <w:rsid w:val="006830CB"/>
    <w:rsid w:val="006A289A"/>
    <w:rsid w:val="006A3872"/>
    <w:rsid w:val="006B7BBB"/>
    <w:rsid w:val="006C2C57"/>
    <w:rsid w:val="006F082B"/>
    <w:rsid w:val="00733311"/>
    <w:rsid w:val="00761EB5"/>
    <w:rsid w:val="007651BD"/>
    <w:rsid w:val="00772736"/>
    <w:rsid w:val="007A0CD8"/>
    <w:rsid w:val="007A6A54"/>
    <w:rsid w:val="007B46D7"/>
    <w:rsid w:val="007C2378"/>
    <w:rsid w:val="008064BA"/>
    <w:rsid w:val="0082114E"/>
    <w:rsid w:val="00833E7D"/>
    <w:rsid w:val="00852707"/>
    <w:rsid w:val="0087166C"/>
    <w:rsid w:val="008722A9"/>
    <w:rsid w:val="00875E62"/>
    <w:rsid w:val="00884CE3"/>
    <w:rsid w:val="00893251"/>
    <w:rsid w:val="008A5A50"/>
    <w:rsid w:val="008E3A96"/>
    <w:rsid w:val="00916F91"/>
    <w:rsid w:val="00921474"/>
    <w:rsid w:val="009220D4"/>
    <w:rsid w:val="009418A4"/>
    <w:rsid w:val="00947CAA"/>
    <w:rsid w:val="00957064"/>
    <w:rsid w:val="009E7225"/>
    <w:rsid w:val="009F193B"/>
    <w:rsid w:val="009F3C8C"/>
    <w:rsid w:val="00A06E48"/>
    <w:rsid w:val="00A1534C"/>
    <w:rsid w:val="00A455CF"/>
    <w:rsid w:val="00A45A4A"/>
    <w:rsid w:val="00A46707"/>
    <w:rsid w:val="00A50629"/>
    <w:rsid w:val="00A8117C"/>
    <w:rsid w:val="00AA0ACF"/>
    <w:rsid w:val="00B20681"/>
    <w:rsid w:val="00B72583"/>
    <w:rsid w:val="00B85BB2"/>
    <w:rsid w:val="00B87605"/>
    <w:rsid w:val="00BA7360"/>
    <w:rsid w:val="00BC6535"/>
    <w:rsid w:val="00BC688B"/>
    <w:rsid w:val="00BD019C"/>
    <w:rsid w:val="00C3367F"/>
    <w:rsid w:val="00C55FE7"/>
    <w:rsid w:val="00C57C68"/>
    <w:rsid w:val="00C833C1"/>
    <w:rsid w:val="00CB1B9C"/>
    <w:rsid w:val="00CC1BA1"/>
    <w:rsid w:val="00CF3E4F"/>
    <w:rsid w:val="00CF54D8"/>
    <w:rsid w:val="00CF6C70"/>
    <w:rsid w:val="00D36A3A"/>
    <w:rsid w:val="00D419C2"/>
    <w:rsid w:val="00D41A0C"/>
    <w:rsid w:val="00D46C89"/>
    <w:rsid w:val="00D566A1"/>
    <w:rsid w:val="00D56A5E"/>
    <w:rsid w:val="00D670A2"/>
    <w:rsid w:val="00D85779"/>
    <w:rsid w:val="00DB1910"/>
    <w:rsid w:val="00DC0005"/>
    <w:rsid w:val="00DC11DF"/>
    <w:rsid w:val="00DC32B4"/>
    <w:rsid w:val="00DD0EF7"/>
    <w:rsid w:val="00DF11FC"/>
    <w:rsid w:val="00DF3C0E"/>
    <w:rsid w:val="00E10520"/>
    <w:rsid w:val="00E21D8F"/>
    <w:rsid w:val="00E257D8"/>
    <w:rsid w:val="00E31F41"/>
    <w:rsid w:val="00E55862"/>
    <w:rsid w:val="00E742E6"/>
    <w:rsid w:val="00E84ED9"/>
    <w:rsid w:val="00E91A52"/>
    <w:rsid w:val="00EA58B0"/>
    <w:rsid w:val="00F12B8D"/>
    <w:rsid w:val="00F33C6B"/>
    <w:rsid w:val="00F537D5"/>
    <w:rsid w:val="00F55BB2"/>
    <w:rsid w:val="00F71F68"/>
    <w:rsid w:val="00F80227"/>
    <w:rsid w:val="00F903BF"/>
    <w:rsid w:val="00FA6250"/>
    <w:rsid w:val="00FF2D17"/>
    <w:rsid w:val="00FF4826"/>
    <w:rsid w:val="01D560F5"/>
    <w:rsid w:val="03C0D96C"/>
    <w:rsid w:val="047D6D11"/>
    <w:rsid w:val="04A00444"/>
    <w:rsid w:val="06EE4206"/>
    <w:rsid w:val="094E3682"/>
    <w:rsid w:val="0AA01CBB"/>
    <w:rsid w:val="0DA2CB29"/>
    <w:rsid w:val="100F5919"/>
    <w:rsid w:val="103C4836"/>
    <w:rsid w:val="16D176F4"/>
    <w:rsid w:val="1761CB86"/>
    <w:rsid w:val="1AEB2ADF"/>
    <w:rsid w:val="1C88406A"/>
    <w:rsid w:val="205B34FA"/>
    <w:rsid w:val="22E124CB"/>
    <w:rsid w:val="239F5928"/>
    <w:rsid w:val="23B16B61"/>
    <w:rsid w:val="255E6E33"/>
    <w:rsid w:val="28BA6B26"/>
    <w:rsid w:val="28E03741"/>
    <w:rsid w:val="2AEB4E64"/>
    <w:rsid w:val="34DF09D5"/>
    <w:rsid w:val="3527393B"/>
    <w:rsid w:val="3751774D"/>
    <w:rsid w:val="37A546DC"/>
    <w:rsid w:val="3CF955DB"/>
    <w:rsid w:val="3DD32530"/>
    <w:rsid w:val="3EF609A4"/>
    <w:rsid w:val="40127E7D"/>
    <w:rsid w:val="422E2B3E"/>
    <w:rsid w:val="47C764BC"/>
    <w:rsid w:val="48A85F90"/>
    <w:rsid w:val="4D8F592B"/>
    <w:rsid w:val="521C79A8"/>
    <w:rsid w:val="545A11DC"/>
    <w:rsid w:val="55A87785"/>
    <w:rsid w:val="5A28209C"/>
    <w:rsid w:val="5A7D0C9E"/>
    <w:rsid w:val="5B6BA06D"/>
    <w:rsid w:val="5C475D0B"/>
    <w:rsid w:val="5DDF5128"/>
    <w:rsid w:val="5E4D13C6"/>
    <w:rsid w:val="633F5AA5"/>
    <w:rsid w:val="66622458"/>
    <w:rsid w:val="6DE529F5"/>
    <w:rsid w:val="6ED251E8"/>
    <w:rsid w:val="6FB74A01"/>
    <w:rsid w:val="6FC703A9"/>
    <w:rsid w:val="7044EDA9"/>
    <w:rsid w:val="74035919"/>
    <w:rsid w:val="74EF498B"/>
    <w:rsid w:val="76DC0CC3"/>
    <w:rsid w:val="79643252"/>
    <w:rsid w:val="7A784E43"/>
    <w:rsid w:val="7A7FAD88"/>
    <w:rsid w:val="7AA043A0"/>
    <w:rsid w:val="7B0E336E"/>
    <w:rsid w:val="7C231C2C"/>
    <w:rsid w:val="7E30572B"/>
    <w:rsid w:val="7EDA1570"/>
    <w:rsid w:val="7FAB1A76"/>
    <w:rsid w:val="DFFDCEA8"/>
    <w:rsid w:val="E7EF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outlineLvl w:val="0"/>
    </w:pPr>
    <w:rPr>
      <w:rFonts w:ascii="黑体" w:hAnsi="黑体" w:eastAsia="黑体" w:cs="黑体"/>
      <w:sz w:val="32"/>
      <w:szCs w:val="32"/>
    </w:rPr>
  </w:style>
  <w:style w:type="paragraph" w:styleId="4">
    <w:name w:val="heading 2"/>
    <w:basedOn w:val="1"/>
    <w:next w:val="1"/>
    <w:unhideWhenUsed/>
    <w:qFormat/>
    <w:uiPriority w:val="0"/>
    <w:pPr>
      <w:adjustRightInd w:val="0"/>
      <w:snapToGrid w:val="0"/>
      <w:spacing w:line="360" w:lineRule="auto"/>
      <w:ind w:firstLine="640" w:firstLineChars="200"/>
      <w:outlineLvl w:val="1"/>
    </w:pPr>
    <w:rPr>
      <w:rFonts w:ascii="楷体" w:hAnsi="楷体" w:eastAsia="楷体" w:cs="仿宋"/>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caption"/>
    <w:basedOn w:val="1"/>
    <w:next w:val="1"/>
    <w:semiHidden/>
    <w:unhideWhenUsed/>
    <w:qFormat/>
    <w:uiPriority w:val="0"/>
    <w:rPr>
      <w:rFonts w:ascii="Times New Roman" w:hAnsi="Times New Roman" w:eastAsia="黑体"/>
      <w:sz w:val="28"/>
      <w:szCs w:val="28"/>
    </w:rPr>
  </w:style>
  <w:style w:type="paragraph" w:styleId="6">
    <w:name w:val="annotation text"/>
    <w:basedOn w:val="1"/>
    <w:link w:val="20"/>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annotation subject"/>
    <w:basedOn w:val="6"/>
    <w:next w:val="6"/>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paragraph" w:customStyle="1" w:styleId="17">
    <w:name w:val="表1"/>
    <w:basedOn w:val="1"/>
    <w:qFormat/>
    <w:uiPriority w:val="0"/>
    <w:pPr>
      <w:wordWrap w:val="0"/>
      <w:jc w:val="center"/>
      <w:outlineLvl w:val="3"/>
    </w:pPr>
    <w:rPr>
      <w:rFonts w:ascii="Times New Roman" w:hAnsi="Times New Roman" w:eastAsia="黑体" w:cs="Times New Roman"/>
      <w:sz w:val="28"/>
      <w:szCs w:val="28"/>
    </w:rPr>
  </w:style>
  <w:style w:type="paragraph" w:customStyle="1" w:styleId="18">
    <w:name w:val="黑体三号"/>
    <w:basedOn w:val="1"/>
    <w:qFormat/>
    <w:uiPriority w:val="0"/>
    <w:pPr>
      <w:wordWrap w:val="0"/>
      <w:ind w:firstLine="640" w:firstLineChars="200"/>
      <w:outlineLvl w:val="0"/>
    </w:pPr>
    <w:rPr>
      <w:rFonts w:ascii="Times New Roman" w:hAnsi="Times New Roman" w:eastAsia="黑体" w:cs="Times New Roman"/>
      <w:sz w:val="32"/>
      <w:szCs w:val="32"/>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3"/>
    <w:link w:val="6"/>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qFormat/>
    <w:uiPriority w:val="0"/>
    <w:rPr>
      <w:rFonts w:asciiTheme="minorHAnsi" w:hAnsiTheme="minorHAnsi" w:eastAsiaTheme="minorEastAsia" w:cstheme="minorBidi"/>
      <w:b/>
      <w:bCs/>
      <w:kern w:val="2"/>
      <w:sz w:val="21"/>
      <w:szCs w:val="24"/>
    </w:rPr>
  </w:style>
  <w:style w:type="paragraph" w:customStyle="1" w:styleId="22">
    <w:name w:val="Revision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 w:type="paragraph" w:customStyle="1" w:styleId="2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c="http://schemas.microsoft.com/office/infopath/2007/PartnerControls" xmlns:xsi="http://www.w3.org/2001/XMLSchema-instance" xmlns:p="http://schemas.microsoft.com/office/2006/metadata/properties">
  <documentManagement>
    <o1cb080a3dca4eb8a0fd03c7cc8bf8f7 xmlns="3e02667f-0271-471b-bd6e-11a2e16def1d">
      <Terms xmlns="http://schemas.microsoft.com/office/infopath/2007/PartnerControls"/>
    </o1cb080a3dca4eb8a0fd03c7cc8bf8f7>
    <Abstract xmlns:xsi="http://www.w3.org/2001/XMLSchema-instance" xmlns="3e02667f-0271-471b-bd6e-11a2e16def1d" xsi:nil="true"/>
    <WBDocs_Access_To_Info_Exception xmlns="3e02667f-0271-471b-bd6e-11a2e16def1d">12. Not Assessed</WBDocs_Access_To_Info_Exception>
    <WBDocs_Document_Date xmlns="3e02667f-0271-471b-bd6e-11a2e16def1d">2026-05-06T04:10:08+00:00</WBDocs_Document_Date>
    <TaxCatchAll xmlns="3e02667f-0271-471b-bd6e-11a2e16def1d">
      <Value xmlns="3e02667f-0271-471b-bd6e-11a2e16def1d">5</Value>
    </TaxCatchAll>
    <OneCMS_Subcategory xmlns:xsi="http://www.w3.org/2001/XMLSchema-instance"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EACCF - WB Off: Beijing</TermName>
          <TermId xmlns="http://schemas.microsoft.com/office/infopath/2007/PartnerControls">2435c311-dfa9-4ae1-8e70-c51f57abf81a</TermId>
        </TermInfo>
      </Terms>
    </i008215bacac45029ee8cafff4c8e93b>
    <WBDocs_Information_Classification xmlns="3e02667f-0271-471b-bd6e-11a2e16def1d">Official Use Only</WBDocs_Information_Classification>
    <OneCMS_Category xmlns:xsi="http://www.w3.org/2001/XMLSchema-instance" xmlns="3e02667f-0271-471b-bd6e-11a2e16def1d" xsi:nil="true"/>
  </documentManagement>
</p:properties>
</file>

<file path=customXml/item3.xml><?xml version="1.0" encoding="utf-8"?>
<b:Sources xmlns:b="http://schemas.openxmlformats.org/officeDocument/2006/bibliography" xmlns="http://schemas.openxmlformats.org/officeDocument/2006/bibliography" Version="6" SelectedStyle="/APASixthEditionOfficeOnline.xsl" StyleName="APA"/>
</file>

<file path=customXml/item4.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5.xml><?xml version="1.0" encoding="utf-8"?>
<ct:contentTypeSchema xmlns:ct="http://schemas.microsoft.com/office/2006/metadata/contentType" contentTypeDescription="" versionID="793720ccac36104286da29796a69d008" contentTypeName="WBDocument" contentTypeScope="" contentTypeVersion="21" contentTypeID="0x010100F4C63C3BD852AE468EAEFD0E6C57C64F02008C015598D0747D4283BB1F9D49ADADC6" _="">
  <xsd:schema xmlns:xsd="http://www.w3.org/2001/XMLSchema" xmlns:ma="http://schemas.microsoft.com/office/2006/metadata/properties/metaAttributes" targetNamespace="http://schemas.microsoft.com/office/2006/metadata/properties" _="" fieldsID="0b45970f5a227ce107450d300e422142" ma:root="true">
    <xsd:import xmlns:xsd="http://www.w3.org/2001/XMLSchema" namespace="3e02667f-0271-471b-bd6e-11a2e16def1d"/>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3:WBDocs_Document_Date" minOccurs="0"/>
                <xsd:element xmlns:xsd="http://www.w3.org/2001/XMLSchema" ref="ns3:WBDocs_Information_Classification"/>
                <xsd:element xmlns:xsd="http://www.w3.org/2001/XMLSchema" ref="ns3:TaxCatchAll" minOccurs="0"/>
                <xsd:element xmlns:xsd="http://www.w3.org/2001/XMLSchema" ref="ns3:TaxCatchAllLabel" minOccurs="0"/>
                <xsd:element xmlns:xsd="http://www.w3.org/2001/XMLSchema" ref="ns3:_dlc_DocId" minOccurs="0"/>
                <xsd:element xmlns:xsd="http://www.w3.org/2001/XMLSchema" ref="ns3:_dlc_DocIdUrl" minOccurs="0"/>
                <xsd:element xmlns:xsd="http://www.w3.org/2001/XMLSchema" ref="ns3:_dlc_DocIdPersistId" minOccurs="0"/>
                <xsd:element xmlns:xsd="http://www.w3.org/2001/XMLSchema" ref="ns3:WBDocs_Access_To_Info_Exception" minOccurs="0"/>
                <xsd:element xmlns:xsd="http://www.w3.org/2001/XMLSchema" ref="ns3:o1cb080a3dca4eb8a0fd03c7cc8bf8f7" minOccurs="0"/>
                <xsd:element xmlns:xsd="http://www.w3.org/2001/XMLSchema" ref="ns3:i008215bacac45029ee8cafff4c8e93b" minOccurs="0"/>
                <xsd:element xmlns:xsd="http://www.w3.org/2001/XMLSchema" ref="ns3:OneCMS_Subcategory" minOccurs="0"/>
                <xsd:element xmlns:xsd="http://www.w3.org/2001/XMLSchema" ref="ns3:OneCMS_Category" minOccurs="0"/>
                <xsd:element xmlns:xsd="http://www.w3.org/2001/XMLSchema" ref="ns3:Abstract" minOccurs="0"/>
              </xsd:all>
            </xsd:complexType>
          </xsd:element>
        </xsd:sequence>
      </xsd:complexType>
    </xsd:element>
  </xsd:schema>
  <xsd:schema xmlns:xsd="http://www.w3.org/2001/XMLSchema" elementFormDefault="qualified" targetNamespace="3e02667f-0271-471b-bd6e-11a2e16def1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nillable="true" ma:default="[today]" ma:index="3" name="WBDocs_Document_Date" ma:internalName="WBDocs_Document_Date" readOnly="false" ma:format="DateTime" ma:displayName="Document Date">
      <xsd:simpleType xmlns:xsd="http://www.w3.org/2001/XMLSchema">
        <xsd:restriction xmlns:xsd="http://www.w3.org/2001/XMLSchema" base="dms:DateTime"/>
      </xsd:simpleType>
    </xsd:element>
    <xsd:element xmlns:xsd="http://www.w3.org/2001/XMLSchema" xmlns:ma="http://schemas.microsoft.com/office/2006/metadata/properties/metaAttributes" ma:default="Official Use Only" ma:index="4" name="WBDocs_Information_Classification" ma:internalName="WBDocs_Information_Classification" readOnly="false" ma:format="Dropdown" ma:displayName="Information Classification">
      <xsd:simpleType xmlns:xsd="http://www.w3.org/2001/XMLSchema">
        <xsd:restriction xmlns:xsd="http://www.w3.org/2001/XMLSchema" base="dms:Choice">
          <xsd:enumeration xmlns:xsd="http://www.w3.org/2001/XMLSchema" value="Public"/>
          <xsd:enumeration xmlns:xsd="http://www.w3.org/2001/XMLSchema" value="Official Use Only"/>
          <xsd:enumeration xmlns:xsd="http://www.w3.org/2001/XMLSchema" value="Confidential"/>
          <xsd:enumeration xmlns:xsd="http://www.w3.org/2001/XMLSchema" value="Strictly Confidential"/>
        </xsd:restriction>
      </xsd:simpleType>
    </xsd:element>
    <xsd:element xmlns:xsd="http://www.w3.org/2001/XMLSchema" xmlns:ma="http://schemas.microsoft.com/office/2006/metadata/properties/metaAttributes" nillable="true" ma:showField="CatchAllData" ma:index="6" hidden="true" name="TaxCatchAll" ma:list="{16aa8994-a05b-49f1-92e2-ade3831271c5}" ma:internalName="TaxCatchAll" ma:displayName="Taxonomy Catch All Column" ma:web="55412a85-6e69-42a4-8c20-5128caeef093">
      <xsd:complexType xmlns:xsd="http://www.w3.org/2001/XMLSchema">
        <xsd:complexContent xmlns:xsd="http://www.w3.org/2001/XMLSchema">
          <xsd:extension xmlns:xsd="http://www.w3.org/2001/XMLSchema" base="dms:MultiChoiceLookup">
            <xsd:sequence xmlns:xsd="http://www.w3.org/2001/XMLSchema">
              <xsd:element xmlns:xsd="http://www.w3.org/2001/XMLSchema" nillable="true" type="dms:Lookup" maxOccurs="unbounded" minOccurs="0" name="Value"/>
            </xsd:sequence>
          </xsd:extension>
        </xsd:complexContent>
      </xsd:complexType>
    </xsd:element>
    <xsd:element xmlns:xsd="http://www.w3.org/2001/XMLSchema" xmlns:ma="http://schemas.microsoft.com/office/2006/metadata/properties/metaAttributes" nillable="true" ma:showField="CatchAllDataLabel" ma:index="7" ma:readOnly="true" hidden="true" name="TaxCatchAllLabel" ma:list="{16aa8994-a05b-49f1-92e2-ade3831271c5}" ma:internalName="TaxCatchAllLabel" ma:displayName="Taxonomy Catch All Column1" ma:web="55412a85-6e69-42a4-8c20-5128caeef093">
      <xsd:complexType xmlns:xsd="http://www.w3.org/2001/XMLSchema">
        <xsd:complexContent xmlns:xsd="http://www.w3.org/2001/XMLSchema">
          <xsd:extension xmlns:xsd="http://www.w3.org/2001/XMLSchema" base="dms:MultiChoiceLookup">
            <xsd:sequence xmlns:xsd="http://www.w3.org/2001/XMLSchema">
              <xsd:element xmlns:xsd="http://www.w3.org/2001/XMLSchema" nillable="true" type="dms:Lookup" maxOccurs="unbounded" minOccurs="0" name="Value"/>
            </xsd:sequence>
          </xsd:extension>
        </xsd:complexContent>
      </xsd:complexType>
    </xsd:element>
    <xsd:element xmlns:xsd="http://www.w3.org/2001/XMLSchema" xmlns:ma="http://schemas.microsoft.com/office/2006/metadata/properties/metaAttributes" nillable="true" description="The value of the document ID assigned to this item." ma:index="10" ma:readOnly="true" name="_dlc_DocId" ma:internalName="_dlc_DocId" ma:displayName="Document ID Value">
      <xsd:simpleType xmlns:xsd="http://www.w3.org/2001/XMLSchema">
        <xsd:restriction xmlns:xsd="http://www.w3.org/2001/XMLSchema" base="dms:Text"/>
      </xsd:simpleType>
    </xsd:element>
    <xsd:element xmlns:xsd="http://www.w3.org/2001/XMLSchema" xmlns:ma="http://schemas.microsoft.com/office/2006/metadata/properties/metaAttributes" nillable="true" ma:index="11" ma:readOnly="true" hidden="true" name="_dlc_DocIdUrl" ma:internalName="_dlc_DocIdUrl" ma:displayName="Document ID" ma:description="Permanent link to this document.">
      <xsd:complexType xmlns:xsd="http://www.w3.org/2001/XMLSchema">
        <xsd:complexContent xmlns:xsd="http://www.w3.org/2001/XMLSchema">
          <xsd:extension xmlns:xsd="http://www.w3.org/2001/XMLSchema" base="dms:URL">
            <xsd:sequence xmlns:xsd="http://www.w3.org/2001/XMLSchema">
              <xsd:element xmlns:xsd="http://www.w3.org/2001/XMLSchema" nillable="true" type="dms:ValidUrl" minOccurs="0" name="Url"/>
              <xsd:element xmlns:xsd="http://www.w3.org/2001/XMLSchema" nillable="true" type="xsd:string" name="Description"/>
            </xsd:sequence>
          </xsd:extension>
        </xsd:complexContent>
      </xsd:complexType>
    </xsd:element>
    <xsd:element xmlns:xsd="http://www.w3.org/2001/XMLSchema" xmlns:ma="http://schemas.microsoft.com/office/2006/metadata/properties/metaAttributes" nillable="true" ma:index="12" ma:readOnly="true" hidden="true" name="_dlc_DocIdPersistId" ma:internalName="_dlc_DocIdPersistId" ma:displayName="Persist ID" ma:description="Keep ID on add.">
      <xsd:simpleType xmlns:xsd="http://www.w3.org/2001/XMLSchema">
        <xsd:restriction xmlns:xsd="http://www.w3.org/2001/XMLSchema" base="dms:Boolean"/>
      </xsd:simpleType>
    </xsd:element>
    <xsd:element xmlns:xsd="http://www.w3.org/2001/XMLSchema" xmlns:ma="http://schemas.microsoft.com/office/2006/metadata/properties/metaAttributes" nillable="true" ma:default="12. Not Assessed" ma:index="13" internalName="WBDocs_Access_To_Info_Exception" name="WBDocs_Access_To_Info_Exception" ma:format="Dropdown" ma:displayName="Access to Info Exception">
      <xsd:simpleType xmlns:xsd="http://www.w3.org/2001/XMLSchema">
        <xsd:restriction xmlns:xsd="http://www.w3.org/2001/XMLSchema" base="dms:Choice">
          <xsd:enumeration xmlns:xsd="http://www.w3.org/2001/XMLSchema" value="1. Personal"/>
          <xsd:enumeration xmlns:xsd="http://www.w3.org/2001/XMLSchema" value="2. Executive Director's Communications"/>
          <xsd:enumeration xmlns:xsd="http://www.w3.org/2001/XMLSchema" value="3. Board Ethics Committee"/>
          <xsd:enumeration xmlns:xsd="http://www.w3.org/2001/XMLSchema" value="4. Attorney-Client Privilege"/>
          <xsd:enumeration xmlns:xsd="http://www.w3.org/2001/XMLSchema" value="5. Security &amp; Safety"/>
          <xsd:enumeration xmlns:xsd="http://www.w3.org/2001/XMLSchema" value="6. Other Disclosure Regimes"/>
          <xsd:enumeration xmlns:xsd="http://www.w3.org/2001/XMLSchema" value="7. Client / Third Party Confidence"/>
          <xsd:enumeration xmlns:xsd="http://www.w3.org/2001/XMLSchema" value="8. Corporate/Administrative"/>
          <xsd:enumeration xmlns:xsd="http://www.w3.org/2001/XMLSchema" value="9. Deliberative"/>
          <xsd:enumeration xmlns:xsd="http://www.w3.org/2001/XMLSchema" value="10a-c. Financial - Forecast/Analysis/Transactions"/>
          <xsd:enumeration xmlns:xsd="http://www.w3.org/2001/XMLSchema" value="10d. Financial - Banking &amp; Billing"/>
          <xsd:enumeration xmlns:xsd="http://www.w3.org/2001/XMLSchema" value="11. Bank's Prerogative to Restrict"/>
          <xsd:enumeration xmlns:xsd="http://www.w3.org/2001/XMLSchema" value="12. Not Assessed"/>
          <xsd:enumeration xmlns:xsd="http://www.w3.org/2001/XMLSchema" value="13. Not Applicable"/>
          <xsd:enumeration xmlns:xsd="http://www.w3.org/2001/XMLSchema" value="Unknown Policy Restriction"/>
        </xsd:restriction>
      </xsd:simpleType>
    </xsd:element>
    <xsd:element xmlns:ma="http://schemas.microsoft.com/office/2006/metadata/properties/metaAttributes" xmlns:xsd="http://www.w3.org/2001/XMLSchema" ma:taxonomyFieldName="WBDocs_Local_Document_Type" ma:taxonomyMulti="true" ma:readOnly="false" ma:isKeyword="false" ma:fieldId="{81cb080a-3dca-4eb8-a0fd-03c7cc8bf8f7}" ma:displayName="Local Document Type" ma:open="false" nillable="true" ma:sspId="2a6c10d7-b926-4fc0-945e-3cbf5049f6bd" ma:default="" ma:internalName="o1cb080a3dca4eb8a0fd03c7cc8bf8f7" anchorId="00000000-0000-0000-0000-000000000000" ma:termSetId="ec380048-e675-43f7-9194-41567bcb0af6" ma:taxonomy="true" ma:index="15" name="o1cb080a3dca4eb8a0fd03c7cc8bf8f7">
      <xsd:complexType xmlns:xsd="http://www.w3.org/2001/XMLSchema">
        <xsd:sequence xmlns:xsd="http://www.w3.org/2001/XMLSchema">
          <xsd:element xmlns:xsd="http://www.w3.org/2001/XMLSchema" ref="pc:Terms" maxOccurs="1" minOccurs="0"/>
        </xsd:sequence>
      </xsd:complexType>
    </xsd:element>
    <xsd:element xmlns:ma="http://schemas.microsoft.com/office/2006/metadata/properties/metaAttributes" xmlns:xsd="http://www.w3.org/2001/XMLSchema" ma:taxonomyFieldName="WBDocs_Originating_Unit" ma:taxonomyMulti="true" ma:readOnly="false" ma:isKeyword="false" ma:fieldId="{2008215b-acac-4502-9ee8-cafff4c8e93b}" ma:displayName="Originating unit" ma:open="false" nillable="true" ma:sspId="2a6c10d7-b926-4fc0-945e-3cbf5049f6bd" ma:default="5;#EACCF - WB Off: Beijing|2435c311-dfa9-4ae1-8e70-c51f57abf81a" ma:internalName="i008215bacac45029ee8cafff4c8e93b" anchorId="00000000-0000-0000-0000-000000000000" ma:termSetId="806c0147-d557-463e-8bb0-983f4f318bd5" ma:taxonomy="true" ma:index="17" name="i008215bacac45029ee8cafff4c8e93b">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nillable="true" ma:index="21" ma:readOnly="false" hidden="true" name="OneCMS_Subcategory" ma:internalName="OneCMS_Subcategory" ma:displayName="Subcategory">
      <xsd:simpleType xmlns:xsd="http://www.w3.org/2001/XMLSchema">
        <xsd:restriction xmlns:xsd="http://www.w3.org/2001/XMLSchema" base="dms:Text"/>
      </xsd:simpleType>
    </xsd:element>
    <xsd:element xmlns:xsd="http://www.w3.org/2001/XMLSchema" xmlns:ma="http://schemas.microsoft.com/office/2006/metadata/properties/metaAttributes" nillable="true" ma:index="22" ma:readOnly="false" hidden="true" name="OneCMS_Category" ma:internalName="OneCMS_Category" ma:displayName="Category">
      <xsd:simpleType xmlns:xsd="http://www.w3.org/2001/XMLSchema">
        <xsd:restriction xmlns:xsd="http://www.w3.org/2001/XMLSchema" base="dms:Text"/>
      </xsd:simpleType>
    </xsd:element>
    <xsd:element xmlns:xsd="http://www.w3.org/2001/XMLSchema" xmlns:ma="http://schemas.microsoft.com/office/2006/metadata/properties/metaAttributes" nillable="true" ma:index="23" ma:readOnly="false" hidden="true" name="Abstract" ma:internalName="Abstract" ma:displayName="Abstract">
      <xsd:simpleType xmlns:xsd="http://www.w3.org/2001/XMLSchema">
        <xsd:restriction xmlns:xsd="http://www.w3.org/2001/XMLSchema" base="dms:Note"/>
      </xsd:simpleType>
    </xsd:element>
  </xsd:schema>
  <xsd:schema xmlns:xsd="http://www.w3.org/2001/XMLSchema" elementFormDefault="qualified" targetNamespace="http://schemas.openxmlformats.org/package/2006/metadata/core-properties" blockDefault="#all" attributeFormDefault="un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xmlns:ma="http://schemas.microsoft.com/office/2006/metadata/properties/metaAttributes" ref="dc:creator" index="2" maxOccurs="1" minOccurs="0" ma:displayName="Author"/>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index="19" type="xsd:string" maxOccurs="1" minOccurs="0" name="contentType" ma:displayName="Content Type"/>
        <xsd:element xmlns:xsd="http://www.w3.org/2001/XMLSchema" xmlns:ma="http://schemas.microsoft.com/office/2006/metadata/properties/metaAttributes" ref="dc:title" index="1" maxOccurs="1" minOccurs="0" ma:displayName="Title"/>
        <xsd:element xmlns:xsd="http://www.w3.org/2001/XMLSchema" ref="dc:subject" maxOccurs="1" minOccurs="0"/>
        <xsd:element xmlns:xsd="http://www.w3.org/2001/XMLSchema" ref="dc:description" maxOccurs="1" minOccurs="0"/>
        <xsd:element xmlns:xsd="http://www.w3.org/2001/XMLSchema" type="xsd:string" maxOccurs="1" minOccurs="0" name="keywords"/>
        <xsd:element xmlns:xsd="http://www.w3.org/2001/XMLSchema" ref="dc:language" maxOccurs="1" minOccurs="0"/>
        <xsd:element xmlns:xsd="http://www.w3.org/2001/XMLSchema" type="xsd:string" maxOccurs="1" minOccurs="0" name="category"/>
        <xsd:element xmlns:xsd="http://www.w3.org/2001/XMLSchema" type="xsd:string" maxOccurs="1" minOccurs="0" name="version"/>
        <xsd:element xmlns:xsd="http://www.w3.org/2001/XMLSchema" type="xsd:string" maxOccurs="1" minOccurs="0"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maxOccurs="1" minOccurs="0" name="lastModifiedBy"/>
        <xsd:element xmlns:xsd="http://www.w3.org/2001/XMLSchema" ref="dcterms:modified" maxOccurs="1" minOccurs="0"/>
        <xsd:element xmlns:xsd="http://www.w3.org/2001/XMLSchema" type="xsd:string" maxOccurs="1" minOccurs="0" name="contentStatus"/>
      </xsd:all>
    </xsd:complexType>
  </xsd:schema>
  <xs:schema xmlns:xs="http://www.w3.org/2001/XMLSchema" elementFormDefault="qualified" targetNamespace="http://schemas.microsoft.com/office/infopath/2007/PartnerControls" attributeFormDefault="un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ref="pc:BDCEntity" maxOccurs="unbounded"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ref="pc:TermInfo" maxOccurs="unbounded"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6.xml><?xml version="1.0" encoding="utf-8"?>
<?mso-contentType ?>
<SharedContentType xmlns="Microsoft.SharePoint.Taxonomy.ContentTypeSync" PreviousValue="false" SourceId="2a6c10d7-b926-4fc0-945e-3cbf5049f6bd" ContentTypeId="0x010100F4C63C3BD852AE468EAEFD0E6C57C64F02"/>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25592-480E-46F4-B25C-BB357F646337}">
  <ds:schemaRefs/>
</ds:datastoreItem>
</file>

<file path=customXml/itemProps3.xml><?xml version="1.0" encoding="utf-8"?>
<ds:datastoreItem xmlns:ds="http://schemas.openxmlformats.org/officeDocument/2006/customXml" ds:itemID="{471EBC4E-8D0F-764F-BDDD-691FD9B002A0}">
  <ds:schemaRefs/>
</ds:datastoreItem>
</file>

<file path=customXml/itemProps4.xml><?xml version="1.0" encoding="utf-8"?>
<ds:datastoreItem xmlns:ds="http://schemas.openxmlformats.org/officeDocument/2006/customXml" ds:itemID="{AF4B8910-2C00-41DA-BC58-C2E9AC4B7EB1}">
  <ds:schemaRefs/>
</ds:datastoreItem>
</file>

<file path=customXml/itemProps5.xml><?xml version="1.0" encoding="utf-8"?>
<ds:datastoreItem xmlns:ds="http://schemas.openxmlformats.org/officeDocument/2006/customXml" ds:itemID="{53C6229F-B05E-489C-9895-43C0B5B58EB4}">
  <ds:schemaRefs/>
</ds:datastoreItem>
</file>

<file path=customXml/itemProps6.xml><?xml version="1.0" encoding="utf-8"?>
<ds:datastoreItem xmlns:ds="http://schemas.openxmlformats.org/officeDocument/2006/customXml" ds:itemID="{57DC7476-078D-479F-A5FA-90A2FF161169}">
  <ds:schemaRefs/>
</ds:datastoreItem>
</file>

<file path=customXml/itemProps7.xml><?xml version="1.0" encoding="utf-8"?>
<ds:datastoreItem xmlns:ds="http://schemas.openxmlformats.org/officeDocument/2006/customXml" ds:itemID="{4866E99B-DA9E-4F9B-94EE-6645F7A6AC05}">
  <ds:schemaRefs/>
</ds:datastoreItem>
</file>

<file path=docProps/app.xml><?xml version="1.0" encoding="utf-8"?>
<Properties xmlns="http://schemas.openxmlformats.org/officeDocument/2006/extended-properties" xmlns:vt="http://schemas.openxmlformats.org/officeDocument/2006/docPropsVTypes">
  <Template>Normal.dotm</Template>
  <Company>WBG</Company>
  <Pages>16</Pages>
  <Words>2371</Words>
  <Characters>2525</Characters>
  <Lines>67</Lines>
  <Paragraphs>18</Paragraphs>
  <TotalTime>26</TotalTime>
  <ScaleCrop>false</ScaleCrop>
  <LinksUpToDate>false</LinksUpToDate>
  <CharactersWithSpaces>2529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2026-03-18T09:38:00Z</dcterms:created>
  <dc:creator>river</dc:creator>
  <cp:lastModifiedBy>lillian</cp:lastModifiedBy>
  <cp:lastPrinted>2026-07-15T06:42:00Z</cp:lastPrinted>
  <dcterms:modified xsi:type="dcterms:W3CDTF">2026-07-20T02:18:29Z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DB3E1BEFBDB80CD68953156A3D04AFE0_43</vt:lpwstr>
  </property>
  <property fmtid="{D5CDD505-2E9C-101B-9397-08002B2CF9AE}" pid="4" name="KSOTemplateDocerSaveRecord">
    <vt:lpwstr>eyJoZGlkIjoiMjIyMWMzOGE3YjUzODgxZmVkMTc5NzMzZDFlZDMyOGYiLCJ1c2VySWQiOiIyMzAzMjg4NTkifQ==</vt:lpwstr>
  </property>
  <property fmtid="{D5CDD505-2E9C-101B-9397-08002B2CF9AE}" pid="5" name="ContentTypeId">
    <vt:lpwstr>0x010100F4C63C3BD852AE468EAEFD0E6C57C64F02008C015598D0747D4283BB1F9D49ADADC6</vt:lpwstr>
  </property>
  <property fmtid="{D5CDD505-2E9C-101B-9397-08002B2CF9AE}" pid="6" name="ClassificationContentMarkingFooterShapeIds">
    <vt:lpwstr>12f00af4,dde2cf9,3dca46ca</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2026-05-06T05:28:17Z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cbcd8f96-030e-4a3f-9b5a-4d3572e8ab40</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y fmtid="{D5CDD505-2E9C-101B-9397-08002B2CF9AE}" pid="17" name="WBDocs_Local_Document_Type">
    <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WBDocs_Originating_Unit">
    <vt:lpwstr>5;#EACCF - WB Off: Beijing|2435c311-dfa9-4ae1-8e70-c51f57abf81a</vt:lpwstr>
  </property>
  <property fmtid="{D5CDD505-2E9C-101B-9397-08002B2CF9AE}" pid="21" name="docLangLocale">
    <vt:lpwstr>zh-hans</vt:lpwstr>
  </property>
  <property fmtid="{D5CDD505-2E9C-101B-9397-08002B2CF9AE}" pid="22" name="docLang">
    <vt:lpwstr>zh</vt:lpwstr>
  </property>
</Properties>
</file>