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0A" w:rsidRDefault="003256A5">
      <w:pPr>
        <w:pStyle w:val="1"/>
        <w:spacing w:before="360" w:after="360" w:line="240" w:lineRule="auto"/>
        <w:rPr>
          <w:rFonts w:ascii="Times New Roman" w:eastAsia="仿宋" w:hAnsi="Times New Roman" w:cs="Times New Roman"/>
          <w:sz w:val="24"/>
          <w:szCs w:val="24"/>
        </w:rPr>
      </w:pPr>
      <w:bookmarkStart w:id="0" w:name="_Toc437890651"/>
      <w:r>
        <w:rPr>
          <w:rFonts w:ascii="Times New Roman" w:eastAsia="仿宋" w:hAnsi="Times New Roman" w:cs="Times New Roman"/>
          <w:sz w:val="24"/>
          <w:szCs w:val="24"/>
        </w:rPr>
        <w:t>附件</w:t>
      </w:r>
      <w:r w:rsidR="00AB16F7"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：筛选标准</w:t>
      </w:r>
    </w:p>
    <w:p w:rsidR="00B55A0A" w:rsidRPr="004E776E" w:rsidRDefault="003256A5" w:rsidP="004E776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/>
          <w:b/>
          <w:sz w:val="28"/>
          <w:szCs w:val="24"/>
        </w:rPr>
        <w:t>全球环境基金</w:t>
      </w:r>
      <w:r>
        <w:rPr>
          <w:rFonts w:ascii="Times New Roman" w:eastAsia="仿宋" w:hAnsi="Times New Roman" w:cs="Times New Roman"/>
          <w:b/>
          <w:sz w:val="28"/>
          <w:szCs w:val="24"/>
        </w:rPr>
        <w:t>“</w:t>
      </w:r>
      <w:r>
        <w:rPr>
          <w:rFonts w:ascii="Times New Roman" w:eastAsia="仿宋" w:hAnsi="Times New Roman" w:cs="Times New Roman"/>
          <w:b/>
          <w:sz w:val="28"/>
          <w:szCs w:val="24"/>
        </w:rPr>
        <w:t>中国</w:t>
      </w:r>
      <w:r>
        <w:rPr>
          <w:rFonts w:ascii="Times New Roman" w:eastAsia="仿宋" w:hAnsi="Times New Roman" w:cs="Times New Roman"/>
          <w:b/>
          <w:sz w:val="28"/>
          <w:szCs w:val="24"/>
        </w:rPr>
        <w:t>PFOS</w:t>
      </w:r>
      <w:r>
        <w:rPr>
          <w:rFonts w:ascii="Times New Roman" w:eastAsia="仿宋" w:hAnsi="Times New Roman" w:cs="Times New Roman"/>
          <w:b/>
          <w:sz w:val="28"/>
          <w:szCs w:val="24"/>
        </w:rPr>
        <w:t>优先行业削减与淘汰项目</w:t>
      </w:r>
      <w:r>
        <w:rPr>
          <w:rFonts w:ascii="Times New Roman" w:eastAsia="仿宋" w:hAnsi="Times New Roman" w:cs="Times New Roman"/>
          <w:b/>
          <w:sz w:val="28"/>
          <w:szCs w:val="24"/>
        </w:rPr>
        <w:t>”</w:t>
      </w:r>
      <w:r w:rsidR="00406751" w:rsidRPr="00406751">
        <w:rPr>
          <w:rFonts w:hint="eastAsia"/>
        </w:rPr>
        <w:t xml:space="preserve"> </w:t>
      </w:r>
      <w:r w:rsidR="00406751" w:rsidRPr="00406751">
        <w:rPr>
          <w:rFonts w:ascii="Times New Roman" w:eastAsia="仿宋" w:hAnsi="Times New Roman" w:cs="Times New Roman" w:hint="eastAsia"/>
          <w:b/>
          <w:sz w:val="28"/>
          <w:szCs w:val="24"/>
        </w:rPr>
        <w:t>之电镀行业含</w:t>
      </w:r>
      <w:r w:rsidR="00406751" w:rsidRPr="00406751">
        <w:rPr>
          <w:rFonts w:ascii="Times New Roman" w:eastAsia="仿宋" w:hAnsi="Times New Roman" w:cs="Times New Roman"/>
          <w:b/>
          <w:sz w:val="28"/>
          <w:szCs w:val="24"/>
        </w:rPr>
        <w:t>PFCs</w:t>
      </w:r>
      <w:r w:rsidR="00406751" w:rsidRPr="00406751">
        <w:rPr>
          <w:rFonts w:ascii="Times New Roman" w:eastAsia="仿宋" w:hAnsi="Times New Roman" w:cs="Times New Roman"/>
          <w:b/>
          <w:sz w:val="28"/>
          <w:szCs w:val="24"/>
        </w:rPr>
        <w:t>污水处理示范单位</w:t>
      </w:r>
      <w:r w:rsidR="00810B07">
        <w:rPr>
          <w:rFonts w:ascii="Times New Roman" w:eastAsia="仿宋" w:hAnsi="Times New Roman" w:cs="Times New Roman" w:hint="eastAsia"/>
          <w:b/>
          <w:sz w:val="28"/>
          <w:szCs w:val="24"/>
        </w:rPr>
        <w:t>的</w:t>
      </w:r>
      <w:r>
        <w:rPr>
          <w:rFonts w:ascii="Times New Roman" w:eastAsia="仿宋" w:hAnsi="Times New Roman" w:cs="Times New Roman"/>
          <w:b/>
          <w:sz w:val="28"/>
          <w:szCs w:val="24"/>
        </w:rPr>
        <w:t>筛选标准</w:t>
      </w: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一、筛选标准说明：</w:t>
      </w:r>
    </w:p>
    <w:p w:rsidR="00B55A0A" w:rsidRDefault="003256A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本标准针对涉镀铬的电镀园区</w:t>
      </w:r>
      <w:r w:rsidR="00714EA2" w:rsidRPr="00714EA2">
        <w:rPr>
          <w:rFonts w:ascii="Times New Roman" w:eastAsia="仿宋" w:hAnsi="Times New Roman" w:cs="Times New Roman"/>
          <w:sz w:val="24"/>
          <w:szCs w:val="24"/>
        </w:rPr>
        <w:t>污水处理厂</w:t>
      </w:r>
      <w:r>
        <w:rPr>
          <w:rFonts w:ascii="Times New Roman" w:eastAsia="仿宋" w:hAnsi="Times New Roman" w:cs="Times New Roman"/>
          <w:sz w:val="24"/>
          <w:szCs w:val="24"/>
        </w:rPr>
        <w:t>。活动主要</w:t>
      </w:r>
      <w:r>
        <w:rPr>
          <w:rFonts w:ascii="Times New Roman" w:eastAsia="仿宋" w:hAnsi="Times New Roman" w:cs="Times New Roman" w:hint="eastAsia"/>
          <w:sz w:val="24"/>
          <w:szCs w:val="24"/>
        </w:rPr>
        <w:t>为</w:t>
      </w:r>
      <w:r>
        <w:rPr>
          <w:rFonts w:ascii="Times New Roman" w:eastAsia="仿宋" w:hAnsi="Times New Roman" w:cs="Times New Roman"/>
          <w:sz w:val="24"/>
          <w:szCs w:val="24"/>
        </w:rPr>
        <w:t>升级电镀园区</w:t>
      </w:r>
      <w:r w:rsidR="00714EA2" w:rsidRPr="00714EA2">
        <w:rPr>
          <w:rFonts w:ascii="Times New Roman" w:eastAsia="仿宋" w:hAnsi="Times New Roman" w:cs="Times New Roman"/>
          <w:sz w:val="24"/>
          <w:szCs w:val="24"/>
        </w:rPr>
        <w:t>污水处理厂</w:t>
      </w:r>
      <w:r>
        <w:rPr>
          <w:rFonts w:ascii="Times New Roman" w:eastAsia="仿宋" w:hAnsi="Times New Roman" w:cs="Times New Roman"/>
          <w:sz w:val="24"/>
          <w:szCs w:val="24"/>
        </w:rPr>
        <w:t>污水处理设施去除</w:t>
      </w:r>
      <w:r>
        <w:rPr>
          <w:rFonts w:ascii="Times New Roman" w:eastAsia="仿宋" w:hAnsi="Times New Roman" w:cs="Times New Roman"/>
          <w:sz w:val="24"/>
          <w:szCs w:val="24"/>
        </w:rPr>
        <w:t>PFCs</w:t>
      </w:r>
      <w:r>
        <w:rPr>
          <w:rFonts w:ascii="Times New Roman" w:eastAsia="仿宋" w:hAnsi="Times New Roman" w:cs="Times New Roman"/>
          <w:sz w:val="24"/>
          <w:szCs w:val="24"/>
        </w:rPr>
        <w:t>物质。</w:t>
      </w:r>
    </w:p>
    <w:bookmarkEnd w:id="0"/>
    <w:p w:rsidR="00B55A0A" w:rsidRDefault="000E2CB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二</w:t>
      </w:r>
      <w:r w:rsidR="003256A5">
        <w:rPr>
          <w:rFonts w:ascii="Times New Roman" w:eastAsia="仿宋" w:hAnsi="Times New Roman" w:cs="Times New Roman"/>
          <w:b/>
          <w:sz w:val="24"/>
          <w:szCs w:val="24"/>
        </w:rPr>
        <w:t>、</w:t>
      </w:r>
      <w:r w:rsidR="00406751" w:rsidRPr="00406751">
        <w:rPr>
          <w:rFonts w:ascii="Times New Roman" w:eastAsia="仿宋" w:hAnsi="Times New Roman" w:cs="Times New Roman" w:hint="eastAsia"/>
          <w:b/>
          <w:sz w:val="24"/>
          <w:szCs w:val="24"/>
        </w:rPr>
        <w:t>示范单位</w:t>
      </w:r>
      <w:r w:rsidR="003256A5">
        <w:rPr>
          <w:rFonts w:ascii="Times New Roman" w:eastAsia="仿宋" w:hAnsi="Times New Roman" w:cs="Times New Roman"/>
          <w:b/>
          <w:sz w:val="24"/>
          <w:szCs w:val="24"/>
        </w:rPr>
        <w:t>的筛选标准</w:t>
      </w: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1.</w:t>
      </w:r>
      <w:r>
        <w:rPr>
          <w:rFonts w:ascii="Times New Roman" w:eastAsia="仿宋" w:hAnsi="Times New Roman" w:cs="Times New Roman"/>
          <w:b/>
          <w:sz w:val="24"/>
          <w:szCs w:val="24"/>
        </w:rPr>
        <w:t>基本要求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a.</w:t>
      </w:r>
      <w:r w:rsidR="00C102AD" w:rsidRPr="00C102AD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="00406751" w:rsidRPr="00406751">
        <w:rPr>
          <w:rFonts w:ascii="Times New Roman" w:eastAsia="仿宋" w:hAnsi="Times New Roman" w:cs="Times New Roman" w:hint="eastAsia"/>
          <w:b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sz w:val="24"/>
          <w:szCs w:val="24"/>
        </w:rPr>
        <w:t>有参与兴趣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</w:p>
    <w:p w:rsidR="00B55A0A" w:rsidRDefault="003256A5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出具愿意参与项目的兴趣函</w:t>
      </w:r>
      <w:r w:rsidR="00492B4B">
        <w:rPr>
          <w:rFonts w:ascii="Times New Roman" w:eastAsia="仿宋" w:hAnsi="Times New Roman" w:cs="Times New Roman" w:hint="eastAsia"/>
          <w:sz w:val="24"/>
          <w:szCs w:val="24"/>
        </w:rPr>
        <w:t>；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B55A0A" w:rsidRDefault="003256A5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能够按照项目要求提供现金和实物配套</w:t>
      </w:r>
      <w:r w:rsidR="00492B4B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b.</w:t>
      </w:r>
      <w:r w:rsidR="00F20976" w:rsidRPr="00F20976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F20976" w:rsidRPr="00406751">
        <w:rPr>
          <w:rFonts w:ascii="Times New Roman" w:eastAsia="仿宋" w:hAnsi="Times New Roman" w:cs="Times New Roman" w:hint="eastAsia"/>
          <w:b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sz w:val="24"/>
          <w:szCs w:val="24"/>
        </w:rPr>
        <w:t>的代表性</w:t>
      </w:r>
    </w:p>
    <w:p w:rsidR="00B55A0A" w:rsidRDefault="00406751" w:rsidP="00406751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406751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 w:hint="eastAsia"/>
          <w:sz w:val="24"/>
          <w:szCs w:val="24"/>
        </w:rPr>
        <w:t>接收污水</w:t>
      </w:r>
      <w:r w:rsidR="00F57575">
        <w:rPr>
          <w:rFonts w:ascii="Times New Roman" w:eastAsia="仿宋" w:hAnsi="Times New Roman" w:cs="Times New Roman" w:hint="eastAsia"/>
          <w:sz w:val="24"/>
          <w:szCs w:val="24"/>
        </w:rPr>
        <w:t>企业</w:t>
      </w:r>
      <w:r w:rsidR="003256A5">
        <w:rPr>
          <w:rFonts w:ascii="Times New Roman" w:eastAsia="仿宋" w:hAnsi="Times New Roman" w:cs="Times New Roman"/>
          <w:sz w:val="24"/>
          <w:szCs w:val="24"/>
        </w:rPr>
        <w:t>的生产工艺应至少包括六价铬镀铬工艺</w:t>
      </w:r>
      <w:r w:rsidR="00492B4B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55A0A" w:rsidRDefault="003256A5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镀铬产品应为机械设备、汽车配件、水暖洁具等具有典型品种</w:t>
      </w:r>
      <w:r w:rsidR="00492B4B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55A0A" w:rsidRDefault="00406751" w:rsidP="00754F2D">
      <w:pPr>
        <w:pStyle w:val="ae"/>
        <w:widowControl/>
        <w:numPr>
          <w:ilvl w:val="0"/>
          <w:numId w:val="1"/>
        </w:numPr>
        <w:spacing w:after="160" w:line="276" w:lineRule="auto"/>
        <w:ind w:left="902" w:firstLineChars="0"/>
        <w:rPr>
          <w:rFonts w:ascii="Times New Roman" w:eastAsia="仿宋" w:hAnsi="Times New Roman" w:cs="Times New Roman"/>
          <w:sz w:val="24"/>
          <w:szCs w:val="24"/>
        </w:rPr>
      </w:pPr>
      <w:r w:rsidRPr="00406751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 w:rsidR="003256A5">
        <w:rPr>
          <w:rFonts w:ascii="Times New Roman" w:eastAsia="仿宋" w:hAnsi="Times New Roman" w:cs="Times New Roman"/>
          <w:sz w:val="24"/>
          <w:szCs w:val="24"/>
        </w:rPr>
        <w:t>必须保证所有镀铬废水均</w:t>
      </w:r>
      <w:r w:rsidR="00814CF8">
        <w:rPr>
          <w:rFonts w:ascii="Times New Roman" w:eastAsia="仿宋" w:hAnsi="Times New Roman" w:cs="Times New Roman" w:hint="eastAsia"/>
          <w:sz w:val="24"/>
          <w:szCs w:val="24"/>
        </w:rPr>
        <w:t>由</w:t>
      </w:r>
      <w:r w:rsidR="003256A5">
        <w:rPr>
          <w:rFonts w:ascii="Times New Roman" w:eastAsia="仿宋" w:hAnsi="Times New Roman" w:cs="Times New Roman"/>
          <w:sz w:val="24"/>
          <w:szCs w:val="24"/>
        </w:rPr>
        <w:t>专门纳管收集（要求与其它镀种的废水分开），并输送至园区专属的污水处理厂进行处理</w:t>
      </w:r>
      <w:r w:rsidR="00492B4B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2.</w:t>
      </w:r>
      <w:r>
        <w:rPr>
          <w:rFonts w:ascii="Times New Roman" w:eastAsia="仿宋" w:hAnsi="Times New Roman" w:cs="Times New Roman"/>
          <w:b/>
          <w:sz w:val="24"/>
          <w:szCs w:val="24"/>
        </w:rPr>
        <w:t>具体要求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a.</w:t>
      </w:r>
      <w:r w:rsidR="00392048">
        <w:rPr>
          <w:rFonts w:ascii="Times New Roman" w:eastAsia="仿宋" w:hAnsi="Times New Roman" w:cs="Times New Roman"/>
          <w:b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sz w:val="24"/>
          <w:szCs w:val="24"/>
        </w:rPr>
        <w:t>的规范性</w:t>
      </w:r>
    </w:p>
    <w:p w:rsidR="00B55A0A" w:rsidRDefault="003256A5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证照俱全，环评规范</w:t>
      </w:r>
      <w:r w:rsidR="003F59F0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55A0A" w:rsidRDefault="003256A5" w:rsidP="00754F2D">
      <w:pPr>
        <w:pStyle w:val="ae"/>
        <w:widowControl/>
        <w:numPr>
          <w:ilvl w:val="0"/>
          <w:numId w:val="1"/>
        </w:numPr>
        <w:spacing w:after="160" w:line="276" w:lineRule="auto"/>
        <w:ind w:left="902"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无重大环保违法记录，特别是符合排放标准，没有重大违规或环境事故</w:t>
      </w:r>
      <w:r w:rsidR="003F59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b.</w:t>
      </w:r>
      <w:r w:rsidR="007812C8" w:rsidRPr="007812C8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="00392048">
        <w:rPr>
          <w:rFonts w:ascii="Times New Roman" w:eastAsia="仿宋" w:hAnsi="Times New Roman" w:cs="Times New Roman"/>
          <w:b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sz w:val="24"/>
          <w:szCs w:val="24"/>
        </w:rPr>
        <w:t>有一定规模</w:t>
      </w:r>
    </w:p>
    <w:p w:rsidR="00B55A0A" w:rsidRDefault="00043B40" w:rsidP="00043B40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</w:rPr>
      </w:pPr>
      <w:r w:rsidRPr="00043B40">
        <w:rPr>
          <w:rFonts w:ascii="Times New Roman" w:eastAsia="仿宋" w:hAnsi="Times New Roman" w:cs="Times New Roman" w:hint="eastAsia"/>
          <w:sz w:val="24"/>
          <w:szCs w:val="24"/>
        </w:rPr>
        <w:t>注册资本或资产总额超过</w:t>
      </w:r>
      <w:r w:rsidRPr="00043B40">
        <w:rPr>
          <w:rFonts w:ascii="Times New Roman" w:eastAsia="仿宋" w:hAnsi="Times New Roman" w:cs="Times New Roman"/>
          <w:sz w:val="24"/>
          <w:szCs w:val="24"/>
        </w:rPr>
        <w:t>2</w:t>
      </w:r>
      <w:r w:rsidRPr="00043B40">
        <w:rPr>
          <w:rFonts w:ascii="Times New Roman" w:eastAsia="仿宋" w:hAnsi="Times New Roman" w:cs="Times New Roman"/>
          <w:sz w:val="24"/>
          <w:szCs w:val="24"/>
        </w:rPr>
        <w:t>千万人民币</w:t>
      </w:r>
      <w:bookmarkStart w:id="1" w:name="_GoBack"/>
      <w:bookmarkEnd w:id="1"/>
      <w:r w:rsidR="00BF41CE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55A0A" w:rsidRDefault="0020536D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</w:rPr>
      </w:pPr>
      <w:r w:rsidRPr="00406751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 w:hint="eastAsia"/>
          <w:sz w:val="24"/>
          <w:szCs w:val="24"/>
        </w:rPr>
        <w:t>接收污水企业包括</w:t>
      </w:r>
      <w:r w:rsidR="003256A5">
        <w:rPr>
          <w:rFonts w:ascii="Times New Roman" w:eastAsia="仿宋" w:hAnsi="Times New Roman" w:cs="Times New Roman"/>
          <w:sz w:val="24"/>
          <w:szCs w:val="24"/>
        </w:rPr>
        <w:t>3</w:t>
      </w:r>
      <w:r w:rsidR="003256A5">
        <w:rPr>
          <w:rFonts w:ascii="Times New Roman" w:eastAsia="仿宋" w:hAnsi="Times New Roman" w:cs="Times New Roman"/>
          <w:sz w:val="24"/>
          <w:szCs w:val="24"/>
        </w:rPr>
        <w:t>家以上的镀铬企业，镀铬槽有效容积</w:t>
      </w:r>
      <w:r w:rsidR="003256A5">
        <w:rPr>
          <w:rFonts w:ascii="Times New Roman" w:eastAsia="仿宋" w:hAnsi="Times New Roman" w:cs="Times New Roman"/>
          <w:sz w:val="24"/>
          <w:szCs w:val="24"/>
        </w:rPr>
        <w:t>3000</w:t>
      </w:r>
      <w:r w:rsidR="003256A5">
        <w:rPr>
          <w:rFonts w:ascii="Times New Roman" w:eastAsia="仿宋" w:hAnsi="Times New Roman" w:cs="Times New Roman"/>
          <w:sz w:val="24"/>
          <w:szCs w:val="24"/>
        </w:rPr>
        <w:t>升以上</w:t>
      </w:r>
      <w:r w:rsidR="00BF41CE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B55A0A" w:rsidRDefault="003256A5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仿宋" w:hAnsi="Times New Roman" w:cs="Times New Roman"/>
          <w:b/>
          <w:sz w:val="24"/>
          <w:szCs w:val="24"/>
        </w:rPr>
        <w:t>其它</w:t>
      </w:r>
    </w:p>
    <w:p w:rsidR="00B55A0A" w:rsidRPr="00CF3D7E" w:rsidRDefault="009924DE" w:rsidP="004E776E">
      <w:pPr>
        <w:pStyle w:val="ae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b/>
          <w:sz w:val="24"/>
          <w:szCs w:val="24"/>
        </w:rPr>
      </w:pPr>
      <w:r w:rsidRPr="00CF3D7E">
        <w:rPr>
          <w:rFonts w:ascii="Times New Roman" w:eastAsia="仿宋" w:hAnsi="Times New Roman" w:cs="Times New Roman" w:hint="eastAsia"/>
          <w:b/>
          <w:sz w:val="24"/>
          <w:szCs w:val="24"/>
        </w:rPr>
        <w:t>意向</w:t>
      </w:r>
      <w:r w:rsidR="002A68BF" w:rsidRPr="00CF3D7E">
        <w:rPr>
          <w:rFonts w:ascii="Times New Roman" w:eastAsia="仿宋" w:hAnsi="Times New Roman" w:cs="Times New Roman" w:hint="eastAsia"/>
          <w:b/>
          <w:sz w:val="24"/>
          <w:szCs w:val="24"/>
        </w:rPr>
        <w:t>示范</w:t>
      </w:r>
      <w:r w:rsidRPr="00CF3D7E">
        <w:rPr>
          <w:rFonts w:ascii="Times New Roman" w:eastAsia="仿宋" w:hAnsi="Times New Roman" w:cs="Times New Roman" w:hint="eastAsia"/>
          <w:b/>
          <w:sz w:val="24"/>
          <w:szCs w:val="24"/>
        </w:rPr>
        <w:t>单位在综合评分相同的情况下将优先考虑广东省内所在的</w:t>
      </w:r>
      <w:r w:rsidR="00B80080">
        <w:rPr>
          <w:rFonts w:ascii="Times New Roman" w:eastAsia="仿宋" w:hAnsi="Times New Roman" w:cs="Times New Roman" w:hint="eastAsia"/>
          <w:b/>
          <w:sz w:val="24"/>
          <w:szCs w:val="24"/>
        </w:rPr>
        <w:t>单位</w:t>
      </w:r>
      <w:r w:rsidRPr="00CF3D7E">
        <w:rPr>
          <w:rFonts w:ascii="Times New Roman" w:eastAsia="仿宋" w:hAnsi="Times New Roman" w:cs="Times New Roman" w:hint="eastAsia"/>
          <w:b/>
          <w:sz w:val="24"/>
          <w:szCs w:val="24"/>
        </w:rPr>
        <w:t>。</w:t>
      </w:r>
    </w:p>
    <w:sectPr w:rsidR="00B55A0A" w:rsidRPr="00CF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AD" w:rsidRDefault="00035BAD">
      <w:r>
        <w:separator/>
      </w:r>
    </w:p>
  </w:endnote>
  <w:endnote w:type="continuationSeparator" w:id="0">
    <w:p w:rsidR="00035BAD" w:rsidRDefault="0003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AD" w:rsidRDefault="00035BAD">
      <w:r>
        <w:separator/>
      </w:r>
    </w:p>
  </w:footnote>
  <w:footnote w:type="continuationSeparator" w:id="0">
    <w:p w:rsidR="00035BAD" w:rsidRDefault="0003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3F6"/>
    <w:multiLevelType w:val="multilevel"/>
    <w:tmpl w:val="02A3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  <w:b w:val="0"/>
      </w:rPr>
    </w:lvl>
  </w:abstractNum>
  <w:abstractNum w:abstractNumId="1" w15:restartNumberingAfterBreak="0">
    <w:nsid w:val="2078446B"/>
    <w:multiLevelType w:val="multilevel"/>
    <w:tmpl w:val="2078446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59E"/>
    <w:multiLevelType w:val="multilevel"/>
    <w:tmpl w:val="2163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2EA956F0"/>
    <w:multiLevelType w:val="multilevel"/>
    <w:tmpl w:val="2EA956F0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1"/>
    <w:rsid w:val="00035BAD"/>
    <w:rsid w:val="00043B40"/>
    <w:rsid w:val="00076700"/>
    <w:rsid w:val="000E2CBE"/>
    <w:rsid w:val="001534C1"/>
    <w:rsid w:val="001A16A2"/>
    <w:rsid w:val="0020536D"/>
    <w:rsid w:val="00221991"/>
    <w:rsid w:val="0026144A"/>
    <w:rsid w:val="002849C6"/>
    <w:rsid w:val="002A68BF"/>
    <w:rsid w:val="003256A5"/>
    <w:rsid w:val="00327C26"/>
    <w:rsid w:val="00391A27"/>
    <w:rsid w:val="00392048"/>
    <w:rsid w:val="003B06FE"/>
    <w:rsid w:val="003F59F0"/>
    <w:rsid w:val="00406751"/>
    <w:rsid w:val="004526EA"/>
    <w:rsid w:val="00492B4B"/>
    <w:rsid w:val="004E776E"/>
    <w:rsid w:val="005A1E82"/>
    <w:rsid w:val="005D4E73"/>
    <w:rsid w:val="005F2C24"/>
    <w:rsid w:val="006B085B"/>
    <w:rsid w:val="00714EA2"/>
    <w:rsid w:val="00715CB2"/>
    <w:rsid w:val="00754F2D"/>
    <w:rsid w:val="007812C8"/>
    <w:rsid w:val="00810B07"/>
    <w:rsid w:val="00814CF8"/>
    <w:rsid w:val="00836BDC"/>
    <w:rsid w:val="0085417F"/>
    <w:rsid w:val="00902E8E"/>
    <w:rsid w:val="009134B7"/>
    <w:rsid w:val="009924DE"/>
    <w:rsid w:val="00A244F3"/>
    <w:rsid w:val="00A4571C"/>
    <w:rsid w:val="00A75283"/>
    <w:rsid w:val="00AB16F7"/>
    <w:rsid w:val="00AE574C"/>
    <w:rsid w:val="00B55A0A"/>
    <w:rsid w:val="00B65EC6"/>
    <w:rsid w:val="00B80080"/>
    <w:rsid w:val="00BF41CE"/>
    <w:rsid w:val="00C102AD"/>
    <w:rsid w:val="00C95DF9"/>
    <w:rsid w:val="00CF3D7E"/>
    <w:rsid w:val="00DC7C28"/>
    <w:rsid w:val="00DE3A0A"/>
    <w:rsid w:val="00DE3A14"/>
    <w:rsid w:val="00DE7427"/>
    <w:rsid w:val="00EB1304"/>
    <w:rsid w:val="00EC26CE"/>
    <w:rsid w:val="00F20976"/>
    <w:rsid w:val="00F57575"/>
    <w:rsid w:val="00FB0A1A"/>
    <w:rsid w:val="00FF1E6D"/>
    <w:rsid w:val="411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A9F8A-7A63-428A-B4F3-1038CAB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脚注文本 字符"/>
    <w:basedOn w:val="a0"/>
    <w:link w:val="a9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cwj</cp:lastModifiedBy>
  <cp:revision>58</cp:revision>
  <dcterms:created xsi:type="dcterms:W3CDTF">2021-04-14T02:49:00Z</dcterms:created>
  <dcterms:modified xsi:type="dcterms:W3CDTF">2022-05-12T06:38:00Z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E7F59FF0FB8346ED9E83AF0B9B8D8CA7</vt:lpwstr>
  </property>
</Properties>
</file>