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8E" w:rsidRPr="004B3F7C" w:rsidRDefault="00A1088E" w:rsidP="00A1088E">
      <w:pPr>
        <w:snapToGrid w:val="0"/>
        <w:spacing w:before="240"/>
        <w:jc w:val="center"/>
        <w:rPr>
          <w:rFonts w:ascii="方正小标宋简体" w:eastAsia="方正小标宋简体"/>
          <w:bCs/>
          <w:sz w:val="32"/>
          <w:szCs w:val="32"/>
        </w:rPr>
      </w:pPr>
      <w:bookmarkStart w:id="0" w:name="_GoBack"/>
      <w:r w:rsidRPr="004B3F7C">
        <w:rPr>
          <w:rFonts w:ascii="方正小标宋简体" w:eastAsia="方正小标宋简体" w:hint="eastAsia"/>
          <w:bCs/>
          <w:sz w:val="32"/>
          <w:szCs w:val="32"/>
        </w:rPr>
        <w:t>中国消耗臭氧层物质淘汰监管、执法、政策</w:t>
      </w:r>
      <w:proofErr w:type="gramStart"/>
      <w:r w:rsidRPr="004B3F7C">
        <w:rPr>
          <w:rFonts w:ascii="方正小标宋简体" w:eastAsia="方正小标宋简体" w:hint="eastAsia"/>
          <w:bCs/>
          <w:sz w:val="32"/>
          <w:szCs w:val="32"/>
        </w:rPr>
        <w:t>和</w:t>
      </w:r>
      <w:proofErr w:type="gramEnd"/>
    </w:p>
    <w:p w:rsidR="00A1088E" w:rsidRPr="00B414E6" w:rsidRDefault="00A1088E" w:rsidP="00A1088E">
      <w:pPr>
        <w:snapToGrid w:val="0"/>
        <w:spacing w:before="240"/>
        <w:jc w:val="center"/>
        <w:rPr>
          <w:bCs/>
          <w:sz w:val="32"/>
          <w:szCs w:val="32"/>
        </w:rPr>
      </w:pPr>
      <w:r w:rsidRPr="004B3F7C">
        <w:rPr>
          <w:rFonts w:ascii="方正小标宋简体" w:eastAsia="方正小标宋简体" w:hint="eastAsia"/>
          <w:bCs/>
          <w:sz w:val="32"/>
          <w:szCs w:val="32"/>
        </w:rPr>
        <w:t>市场情况研究工作大纲</w:t>
      </w:r>
      <w:bookmarkEnd w:id="0"/>
      <w:r w:rsidRPr="00B414E6">
        <w:rPr>
          <w:bCs/>
          <w:sz w:val="32"/>
          <w:szCs w:val="32"/>
        </w:rPr>
        <w:t xml:space="preserve"> </w:t>
      </w:r>
    </w:p>
    <w:p w:rsidR="00A1088E" w:rsidRPr="004B3F7C" w:rsidRDefault="00A1088E" w:rsidP="00A1088E">
      <w:pPr>
        <w:spacing w:beforeLines="50" w:before="156" w:line="360" w:lineRule="exact"/>
        <w:ind w:firstLineChars="200" w:firstLine="643"/>
        <w:rPr>
          <w:rFonts w:ascii="仿宋_GB2312" w:eastAsia="仿宋_GB2312"/>
          <w:b/>
          <w:sz w:val="32"/>
          <w:szCs w:val="32"/>
        </w:rPr>
      </w:pPr>
      <w:r w:rsidRPr="004B3F7C">
        <w:rPr>
          <w:rFonts w:ascii="仿宋_GB2312" w:eastAsia="仿宋_GB2312" w:hint="eastAsia"/>
          <w:b/>
          <w:sz w:val="32"/>
          <w:szCs w:val="32"/>
        </w:rPr>
        <w:t>一、背景</w:t>
      </w:r>
      <w:r w:rsidRPr="004B3F7C">
        <w:rPr>
          <w:rFonts w:ascii="仿宋_GB2312" w:eastAsia="仿宋_GB2312"/>
          <w:b/>
          <w:sz w:val="32"/>
          <w:szCs w:val="32"/>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国际社会于</w:t>
      </w:r>
      <w:r w:rsidRPr="004B3F7C">
        <w:rPr>
          <w:rFonts w:ascii="仿宋_GB2312" w:eastAsia="仿宋_GB2312" w:hAnsi="仿宋_GB2312" w:cs="仿宋_GB2312"/>
          <w:sz w:val="30"/>
          <w:szCs w:val="30"/>
        </w:rPr>
        <w:t>1987</w:t>
      </w:r>
      <w:r w:rsidRPr="004B3F7C">
        <w:rPr>
          <w:rFonts w:ascii="仿宋_GB2312" w:eastAsia="仿宋_GB2312" w:hAnsi="仿宋_GB2312" w:cs="仿宋_GB2312" w:hint="eastAsia"/>
          <w:sz w:val="30"/>
          <w:szCs w:val="30"/>
        </w:rPr>
        <w:t>年</w:t>
      </w:r>
      <w:r w:rsidRPr="004B3F7C">
        <w:rPr>
          <w:rFonts w:ascii="仿宋_GB2312" w:eastAsia="仿宋_GB2312" w:hAnsi="仿宋_GB2312" w:cs="仿宋_GB2312"/>
          <w:sz w:val="30"/>
          <w:szCs w:val="30"/>
        </w:rPr>
        <w:t>9</w:t>
      </w:r>
      <w:r w:rsidRPr="004B3F7C">
        <w:rPr>
          <w:rFonts w:ascii="仿宋_GB2312" w:eastAsia="仿宋_GB2312" w:hAnsi="仿宋_GB2312" w:cs="仿宋_GB2312" w:hint="eastAsia"/>
          <w:sz w:val="30"/>
          <w:szCs w:val="30"/>
        </w:rPr>
        <w:t>月</w:t>
      </w:r>
      <w:r w:rsidRPr="004B3F7C">
        <w:rPr>
          <w:rFonts w:ascii="仿宋_GB2312" w:eastAsia="仿宋_GB2312" w:hAnsi="仿宋_GB2312" w:cs="仿宋_GB2312"/>
          <w:sz w:val="30"/>
          <w:szCs w:val="30"/>
        </w:rPr>
        <w:t>16</w:t>
      </w:r>
      <w:r w:rsidRPr="004B3F7C">
        <w:rPr>
          <w:rFonts w:ascii="仿宋_GB2312" w:eastAsia="仿宋_GB2312" w:hAnsi="仿宋_GB2312" w:cs="仿宋_GB2312" w:hint="eastAsia"/>
          <w:sz w:val="30"/>
          <w:szCs w:val="30"/>
        </w:rPr>
        <w:t>日签署《关于消耗臭氧层物质的蒙特利尔议定书》，通过逐步停止消耗臭氧层物质</w:t>
      </w:r>
      <w:r>
        <w:rPr>
          <w:rFonts w:ascii="仿宋_GB2312" w:eastAsia="仿宋_GB2312" w:hAnsi="仿宋_GB2312" w:cs="仿宋_GB2312" w:hint="eastAsia"/>
          <w:sz w:val="30"/>
          <w:szCs w:val="30"/>
        </w:rPr>
        <w:t>（ODS）</w:t>
      </w:r>
      <w:r w:rsidRPr="004B3F7C">
        <w:rPr>
          <w:rFonts w:ascii="仿宋_GB2312" w:eastAsia="仿宋_GB2312" w:hAnsi="仿宋_GB2312" w:cs="仿宋_GB2312" w:hint="eastAsia"/>
          <w:sz w:val="30"/>
          <w:szCs w:val="30"/>
        </w:rPr>
        <w:t>的生产和消费，保护臭氧层。在缔约方的共同努力下，议定书自签署以来已逐步淘汰了近</w:t>
      </w:r>
      <w:r w:rsidRPr="004B3F7C">
        <w:rPr>
          <w:rFonts w:ascii="仿宋_GB2312" w:eastAsia="仿宋_GB2312" w:hAnsi="仿宋_GB2312" w:cs="仿宋_GB2312"/>
          <w:sz w:val="30"/>
          <w:szCs w:val="30"/>
        </w:rPr>
        <w:t>99%</w:t>
      </w:r>
      <w:r w:rsidRPr="004B3F7C">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ODS</w:t>
      </w:r>
      <w:r w:rsidRPr="004B3F7C">
        <w:rPr>
          <w:rFonts w:ascii="仿宋_GB2312" w:eastAsia="仿宋_GB2312" w:hAnsi="仿宋_GB2312" w:cs="仿宋_GB2312" w:hint="eastAsia"/>
          <w:sz w:val="30"/>
          <w:szCs w:val="30"/>
        </w:rPr>
        <w:t>生产和消费，成功实现了议定书目标。</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自</w:t>
      </w:r>
      <w:r w:rsidRPr="004B3F7C">
        <w:rPr>
          <w:rFonts w:ascii="仿宋_GB2312" w:eastAsia="仿宋_GB2312" w:hAnsi="仿宋_GB2312" w:cs="仿宋_GB2312"/>
          <w:sz w:val="30"/>
          <w:szCs w:val="30"/>
        </w:rPr>
        <w:t>1991</w:t>
      </w:r>
      <w:r w:rsidRPr="004B3F7C">
        <w:rPr>
          <w:rFonts w:ascii="仿宋_GB2312" w:eastAsia="仿宋_GB2312" w:hAnsi="仿宋_GB2312" w:cs="仿宋_GB2312" w:hint="eastAsia"/>
          <w:sz w:val="30"/>
          <w:szCs w:val="30"/>
        </w:rPr>
        <w:t>年签署《蒙特利尔议定书》以来，中国政府作为第</w:t>
      </w:r>
      <w:r w:rsidRPr="004B3F7C">
        <w:rPr>
          <w:rFonts w:ascii="仿宋_GB2312" w:eastAsia="仿宋_GB2312" w:hAnsi="仿宋_GB2312" w:cs="仿宋_GB2312"/>
          <w:sz w:val="30"/>
          <w:szCs w:val="30"/>
        </w:rPr>
        <w:t>5</w:t>
      </w:r>
      <w:r w:rsidRPr="004B3F7C">
        <w:rPr>
          <w:rFonts w:ascii="仿宋_GB2312" w:eastAsia="仿宋_GB2312" w:hAnsi="仿宋_GB2312" w:cs="仿宋_GB2312" w:hint="eastAsia"/>
          <w:sz w:val="30"/>
          <w:szCs w:val="30"/>
        </w:rPr>
        <w:t>条款缔约方，持续推动</w:t>
      </w:r>
      <w:r>
        <w:rPr>
          <w:rFonts w:ascii="仿宋_GB2312" w:eastAsia="仿宋_GB2312" w:hAnsi="仿宋_GB2312" w:cs="仿宋_GB2312" w:hint="eastAsia"/>
          <w:sz w:val="30"/>
          <w:szCs w:val="30"/>
        </w:rPr>
        <w:t>ODS</w:t>
      </w:r>
      <w:r w:rsidRPr="004B3F7C">
        <w:rPr>
          <w:rFonts w:ascii="仿宋_GB2312" w:eastAsia="仿宋_GB2312" w:hAnsi="仿宋_GB2312" w:cs="仿宋_GB2312" w:hint="eastAsia"/>
          <w:sz w:val="30"/>
          <w:szCs w:val="30"/>
        </w:rPr>
        <w:t>淘汰和替代。中国逐步建立健全《蒙特利尔议定书》履约体制机制、政策和执法体系。行业淘汰方式行之有效。中国总计</w:t>
      </w:r>
      <w:proofErr w:type="gramStart"/>
      <w:r w:rsidRPr="004B3F7C">
        <w:rPr>
          <w:rFonts w:ascii="仿宋_GB2312" w:eastAsia="仿宋_GB2312" w:hAnsi="仿宋_GB2312" w:cs="仿宋_GB2312" w:hint="eastAsia"/>
          <w:sz w:val="30"/>
          <w:szCs w:val="30"/>
        </w:rPr>
        <w:t>淘汰约</w:t>
      </w:r>
      <w:proofErr w:type="gramEnd"/>
      <w:r w:rsidRPr="004B3F7C">
        <w:rPr>
          <w:rFonts w:ascii="仿宋_GB2312" w:eastAsia="仿宋_GB2312" w:hAnsi="仿宋_GB2312" w:cs="仿宋_GB2312"/>
          <w:sz w:val="30"/>
          <w:szCs w:val="30"/>
        </w:rPr>
        <w:t>28</w:t>
      </w:r>
      <w:r w:rsidRPr="004B3F7C">
        <w:rPr>
          <w:rFonts w:ascii="仿宋_GB2312" w:eastAsia="仿宋_GB2312" w:hAnsi="仿宋_GB2312" w:cs="仿宋_GB2312" w:hint="eastAsia"/>
          <w:sz w:val="30"/>
          <w:szCs w:val="30"/>
        </w:rPr>
        <w:t>万吨受控物质，占发展中国家淘汰量的一半以上。此外，中国已提前完成</w:t>
      </w:r>
      <w:r w:rsidRPr="004B3F7C">
        <w:rPr>
          <w:rFonts w:ascii="仿宋_GB2312" w:eastAsia="仿宋_GB2312" w:hAnsi="仿宋_GB2312" w:cs="仿宋_GB2312"/>
          <w:sz w:val="30"/>
          <w:szCs w:val="30"/>
        </w:rPr>
        <w:t>HCFCs</w:t>
      </w:r>
      <w:r w:rsidRPr="004B3F7C">
        <w:rPr>
          <w:rFonts w:ascii="仿宋_GB2312" w:eastAsia="仿宋_GB2312" w:hAnsi="仿宋_GB2312" w:cs="仿宋_GB2312" w:hint="eastAsia"/>
          <w:sz w:val="30"/>
          <w:szCs w:val="30"/>
        </w:rPr>
        <w:t>淘汰管理计划第一阶段规定的目标。</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中国已淘汰五种主要</w:t>
      </w:r>
      <w:r>
        <w:rPr>
          <w:rFonts w:ascii="仿宋_GB2312" w:eastAsia="仿宋_GB2312" w:hAnsi="仿宋_GB2312" w:cs="仿宋_GB2312" w:hint="eastAsia"/>
          <w:sz w:val="30"/>
          <w:szCs w:val="30"/>
        </w:rPr>
        <w:t>ODS</w:t>
      </w:r>
      <w:r w:rsidRPr="004B3F7C">
        <w:rPr>
          <w:rFonts w:ascii="仿宋_GB2312" w:eastAsia="仿宋_GB2312" w:hAnsi="仿宋_GB2312" w:cs="仿宋_GB2312" w:hint="eastAsia"/>
          <w:sz w:val="30"/>
          <w:szCs w:val="30"/>
        </w:rPr>
        <w:t>受控用途，目前正在相关行业淘汰含氢氯氟烃的生产和消费。为了保证议定书的可持续履约，按计划开展下一阶段淘汰活动，拟通过一家非政府咨询机构开展中国</w:t>
      </w:r>
      <w:r>
        <w:rPr>
          <w:rFonts w:ascii="仿宋_GB2312" w:eastAsia="仿宋_GB2312" w:hAnsi="仿宋_GB2312" w:cs="仿宋_GB2312" w:hint="eastAsia"/>
          <w:sz w:val="30"/>
          <w:szCs w:val="30"/>
        </w:rPr>
        <w:t>ODS</w:t>
      </w:r>
      <w:r w:rsidRPr="004B3F7C">
        <w:rPr>
          <w:rFonts w:ascii="仿宋_GB2312" w:eastAsia="仿宋_GB2312" w:hAnsi="仿宋_GB2312" w:cs="仿宋_GB2312" w:hint="eastAsia"/>
          <w:sz w:val="30"/>
          <w:szCs w:val="30"/>
        </w:rPr>
        <w:t>淘汰法规、政策、执法和市场情况研究，并以可获得的定量数据和定性市场信息为依据进行案例研究，以评估法规政策执法框架对</w:t>
      </w:r>
      <w:r>
        <w:rPr>
          <w:rFonts w:ascii="仿宋_GB2312" w:eastAsia="仿宋_GB2312" w:hAnsi="仿宋_GB2312" w:cs="仿宋_GB2312" w:hint="eastAsia"/>
          <w:sz w:val="30"/>
          <w:szCs w:val="30"/>
        </w:rPr>
        <w:t>ODS</w:t>
      </w:r>
      <w:r w:rsidRPr="004B3F7C">
        <w:rPr>
          <w:rFonts w:ascii="仿宋_GB2312" w:eastAsia="仿宋_GB2312" w:hAnsi="仿宋_GB2312" w:cs="仿宋_GB2312" w:hint="eastAsia"/>
          <w:sz w:val="30"/>
          <w:szCs w:val="30"/>
        </w:rPr>
        <w:t>管理的效力，分析目前和历史市场数据以及相应的管理挑战。</w:t>
      </w:r>
    </w:p>
    <w:p w:rsidR="00A1088E" w:rsidRPr="004B3F7C" w:rsidRDefault="00A1088E" w:rsidP="00A1088E">
      <w:pPr>
        <w:spacing w:beforeLines="50" w:before="156" w:line="360" w:lineRule="exact"/>
        <w:ind w:firstLineChars="200" w:firstLine="643"/>
        <w:rPr>
          <w:rFonts w:ascii="仿宋_GB2312" w:eastAsia="仿宋_GB2312"/>
          <w:b/>
          <w:sz w:val="32"/>
          <w:szCs w:val="32"/>
        </w:rPr>
      </w:pPr>
      <w:r w:rsidRPr="004B3F7C">
        <w:rPr>
          <w:rFonts w:ascii="仿宋_GB2312" w:eastAsia="仿宋_GB2312" w:hint="eastAsia"/>
          <w:b/>
          <w:sz w:val="32"/>
          <w:szCs w:val="32"/>
        </w:rPr>
        <w:t>二、目标</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此项工作的目标，是通过分析量化数据和定性市场信息，确定可能导致</w:t>
      </w:r>
      <w:r w:rsidRPr="004B3F7C">
        <w:rPr>
          <w:rFonts w:ascii="仿宋_GB2312" w:eastAsia="仿宋_GB2312" w:hAnsi="仿宋_GB2312" w:cs="仿宋_GB2312"/>
          <w:sz w:val="30"/>
          <w:szCs w:val="30"/>
        </w:rPr>
        <w:t>CFC-11</w:t>
      </w:r>
      <w:r w:rsidRPr="004B3F7C">
        <w:rPr>
          <w:rFonts w:ascii="仿宋_GB2312" w:eastAsia="仿宋_GB2312" w:hAnsi="仿宋_GB2312" w:cs="仿宋_GB2312" w:hint="eastAsia"/>
          <w:sz w:val="30"/>
          <w:szCs w:val="30"/>
        </w:rPr>
        <w:t>和</w:t>
      </w:r>
      <w:r w:rsidRPr="004B3F7C">
        <w:rPr>
          <w:rFonts w:ascii="仿宋_GB2312" w:eastAsia="仿宋_GB2312" w:hAnsi="仿宋_GB2312" w:cs="仿宋_GB2312"/>
          <w:sz w:val="30"/>
          <w:szCs w:val="30"/>
        </w:rPr>
        <w:t>CFC-12</w:t>
      </w:r>
      <w:r w:rsidRPr="004B3F7C">
        <w:rPr>
          <w:rFonts w:ascii="仿宋_GB2312" w:eastAsia="仿宋_GB2312" w:hAnsi="仿宋_GB2312" w:cs="仿宋_GB2312" w:hint="eastAsia"/>
          <w:sz w:val="30"/>
          <w:szCs w:val="30"/>
        </w:rPr>
        <w:t>非法生产使用的法规、政策、执法或市场情况。</w:t>
      </w:r>
    </w:p>
    <w:p w:rsidR="00A1088E" w:rsidRPr="004B3F7C" w:rsidRDefault="00A1088E" w:rsidP="00A1088E">
      <w:pPr>
        <w:spacing w:beforeLines="50" w:before="156" w:line="360" w:lineRule="exact"/>
        <w:ind w:firstLineChars="200" w:firstLine="643"/>
        <w:rPr>
          <w:rFonts w:ascii="仿宋_GB2312" w:eastAsia="仿宋_GB2312"/>
          <w:b/>
          <w:sz w:val="32"/>
          <w:szCs w:val="32"/>
        </w:rPr>
      </w:pPr>
      <w:r w:rsidRPr="004B3F7C">
        <w:rPr>
          <w:rFonts w:ascii="仿宋_GB2312" w:eastAsia="仿宋_GB2312" w:hint="eastAsia"/>
          <w:b/>
          <w:sz w:val="32"/>
          <w:szCs w:val="32"/>
        </w:rPr>
        <w:t>三、工作内容</w:t>
      </w:r>
      <w:r w:rsidRPr="004B3F7C">
        <w:rPr>
          <w:rFonts w:ascii="仿宋_GB2312" w:eastAsia="仿宋_GB2312"/>
          <w:b/>
          <w:sz w:val="32"/>
          <w:szCs w:val="32"/>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该非政府咨询机构应开展政府、行业协会、执行机构、企业实地走访，收集信息和数据，完成下列任务</w:t>
      </w:r>
      <w:r w:rsidRPr="004B3F7C">
        <w:rPr>
          <w:rFonts w:ascii="仿宋_GB2312" w:eastAsia="仿宋_GB2312" w:hAnsi="仿宋_GB2312" w:cs="仿宋_GB2312"/>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hint="eastAsia"/>
          <w:sz w:val="30"/>
          <w:szCs w:val="30"/>
        </w:rPr>
      </w:pPr>
      <w:r w:rsidRPr="004B3F7C">
        <w:rPr>
          <w:rFonts w:ascii="仿宋_GB2312" w:eastAsia="仿宋_GB2312" w:hAnsi="仿宋_GB2312" w:cs="仿宋_GB2312" w:hint="eastAsia"/>
          <w:sz w:val="30"/>
          <w:szCs w:val="30"/>
        </w:rPr>
        <w:t>编制一份研究报告</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包括可用的定量数据和定性市场信息</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，其中应包括但不限于</w:t>
      </w:r>
      <w:r w:rsidRPr="004B3F7C">
        <w:rPr>
          <w:rFonts w:ascii="仿宋_GB2312" w:eastAsia="仿宋_GB2312" w:hAnsi="仿宋_GB2312" w:cs="仿宋_GB2312"/>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w:t>
      </w:r>
      <w:r w:rsidRPr="004B3F7C">
        <w:rPr>
          <w:rFonts w:ascii="仿宋_GB2312" w:eastAsia="仿宋_GB2312" w:hAnsi="仿宋_GB2312" w:cs="仿宋_GB2312" w:hint="eastAsia"/>
          <w:sz w:val="30"/>
          <w:szCs w:val="30"/>
        </w:rPr>
        <w:t>分析中国</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管理的法规政策框架</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Pr="004B3F7C">
        <w:rPr>
          <w:rFonts w:ascii="仿宋_GB2312" w:eastAsia="仿宋_GB2312" w:hAnsi="仿宋_GB2312" w:cs="仿宋_GB2312" w:hint="eastAsia"/>
          <w:sz w:val="30"/>
          <w:szCs w:val="30"/>
        </w:rPr>
        <w:t>生命周期管理，包括生产、销售、使用、进出口、回收和处置及相应的要求和管理机制，如总量控制和配额管理、许可证制度、备案制度等；</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Pr="004B3F7C">
        <w:rPr>
          <w:rFonts w:ascii="仿宋_GB2312" w:eastAsia="仿宋_GB2312" w:hAnsi="仿宋_GB2312" w:cs="仿宋_GB2312" w:hint="eastAsia"/>
          <w:sz w:val="30"/>
          <w:szCs w:val="30"/>
        </w:rPr>
        <w:t>各相关方的法律义务规定、报告、监督检查及罚则等；</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sidRPr="004B3F7C">
        <w:rPr>
          <w:rFonts w:ascii="仿宋_GB2312" w:eastAsia="仿宋_GB2312" w:hAnsi="仿宋_GB2312" w:cs="仿宋_GB2312" w:hint="eastAsia"/>
          <w:sz w:val="30"/>
          <w:szCs w:val="30"/>
        </w:rPr>
        <w:t>国家、省、市、县在制定和执行政策措施方面的关系，评估法律法规体系在中国履行《蒙特利尔议定书》方面的作用；</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sidRPr="004B3F7C">
        <w:rPr>
          <w:rFonts w:ascii="仿宋_GB2312" w:eastAsia="仿宋_GB2312" w:hAnsi="仿宋_GB2312" w:cs="仿宋_GB2312" w:hint="eastAsia"/>
          <w:sz w:val="30"/>
          <w:szCs w:val="30"/>
        </w:rPr>
        <w:t>评估现行</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监督管理体系的作用</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监督管理体系运行模式和执法检查方式；</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Pr="004B3F7C">
        <w:rPr>
          <w:rFonts w:ascii="仿宋_GB2312" w:eastAsia="仿宋_GB2312" w:hAnsi="仿宋_GB2312" w:cs="仿宋_GB2312" w:hint="eastAsia"/>
          <w:sz w:val="30"/>
          <w:szCs w:val="30"/>
        </w:rPr>
        <w:t>非法生产使用案件信息，包含案件的发现和最终处罚处置措施；</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sidRPr="004B3F7C">
        <w:rPr>
          <w:rFonts w:ascii="仿宋_GB2312" w:eastAsia="仿宋_GB2312" w:hAnsi="仿宋_GB2312" w:cs="仿宋_GB2312" w:hint="eastAsia"/>
          <w:sz w:val="30"/>
          <w:szCs w:val="30"/>
        </w:rPr>
        <w:t>对</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法规的成本影响、非法活动诱因和适用条款进行建模，确定包括</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法规在内的惩罚措施是否足以防止已淘汰</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的非法生产、销售和消费；</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sidRPr="004B3F7C">
        <w:rPr>
          <w:rFonts w:ascii="仿宋_GB2312" w:eastAsia="仿宋_GB2312" w:hAnsi="仿宋_GB2312" w:cs="仿宋_GB2312" w:hint="eastAsia"/>
          <w:sz w:val="30"/>
          <w:szCs w:val="30"/>
        </w:rPr>
        <w:t>分析</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市场的定量数据和定性信息</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sidRPr="004B3F7C">
        <w:rPr>
          <w:rFonts w:ascii="仿宋_GB2312" w:eastAsia="仿宋_GB2312" w:hAnsi="仿宋_GB2312" w:cs="仿宋_GB2312" w:hint="eastAsia"/>
          <w:sz w:val="30"/>
          <w:szCs w:val="30"/>
        </w:rPr>
        <w:t>开展当前市场评估，内容包括：</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Pr="004B3F7C">
        <w:rPr>
          <w:rFonts w:ascii="仿宋_GB2312" w:eastAsia="仿宋_GB2312" w:hAnsi="仿宋_GB2312" w:cs="仿宋_GB2312" w:hint="eastAsia"/>
          <w:sz w:val="30"/>
          <w:szCs w:val="30"/>
        </w:rPr>
        <w:t>需求评估：该非政府咨询机构应通过物料平衡的方法，分析蒙特利尔议定书各行业用于制造和维修的原料</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包括含氢氯氟烃发泡剂</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非</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发泡剂</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制冷剂</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组合聚醚</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压缩机</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及其他相关部件</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原材料</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与含氢氯氟</w:t>
      </w:r>
      <w:proofErr w:type="gramStart"/>
      <w:r w:rsidRPr="004B3F7C">
        <w:rPr>
          <w:rFonts w:ascii="仿宋_GB2312" w:eastAsia="仿宋_GB2312" w:hAnsi="仿宋_GB2312" w:cs="仿宋_GB2312" w:hint="eastAsia"/>
          <w:sz w:val="30"/>
          <w:szCs w:val="30"/>
        </w:rPr>
        <w:t>烃及其</w:t>
      </w:r>
      <w:proofErr w:type="gramEnd"/>
      <w:r w:rsidRPr="004B3F7C">
        <w:rPr>
          <w:rFonts w:ascii="仿宋_GB2312" w:eastAsia="仿宋_GB2312" w:hAnsi="仿宋_GB2312" w:cs="仿宋_GB2312" w:hint="eastAsia"/>
          <w:sz w:val="30"/>
          <w:szCs w:val="30"/>
        </w:rPr>
        <w:t>替代品的市场需求之间的关系，以确定泡沫、制冷和其他蒙特利尔议定书行业是否使用已禁受控物质；</w:t>
      </w:r>
      <w:r w:rsidRPr="004B3F7C">
        <w:rPr>
          <w:rFonts w:ascii="仿宋_GB2312" w:eastAsia="仿宋_GB2312" w:hAnsi="仿宋_GB2312" w:cs="仿宋_GB2312"/>
          <w:sz w:val="30"/>
          <w:szCs w:val="30"/>
        </w:rPr>
        <w:t xml:space="preserve"> </w:t>
      </w:r>
    </w:p>
    <w:p w:rsidR="00A1088E"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Pr="004B3F7C">
        <w:rPr>
          <w:rFonts w:ascii="仿宋_GB2312" w:eastAsia="仿宋_GB2312" w:hAnsi="仿宋_GB2312" w:cs="仿宋_GB2312" w:hint="eastAsia"/>
          <w:sz w:val="30"/>
          <w:szCs w:val="30"/>
        </w:rPr>
        <w:t>供应评估</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含氢氯氟烃生产需求对比，原料用途含氢氯氟烃流向市场的潜在风险，</w:t>
      </w:r>
      <w:r w:rsidRPr="004B3F7C">
        <w:rPr>
          <w:rFonts w:ascii="仿宋_GB2312" w:eastAsia="仿宋_GB2312" w:hAnsi="仿宋_GB2312" w:cs="仿宋_GB2312"/>
          <w:sz w:val="30"/>
          <w:szCs w:val="30"/>
        </w:rPr>
        <w:t>HCFCs</w:t>
      </w:r>
      <w:r w:rsidRPr="004B3F7C">
        <w:rPr>
          <w:rFonts w:ascii="仿宋_GB2312" w:eastAsia="仿宋_GB2312" w:hAnsi="仿宋_GB2312" w:cs="仿宋_GB2312" w:hint="eastAsia"/>
          <w:sz w:val="30"/>
          <w:szCs w:val="30"/>
        </w:rPr>
        <w:t>生产成本，</w:t>
      </w:r>
      <w:r w:rsidRPr="004B3F7C">
        <w:rPr>
          <w:rFonts w:ascii="仿宋_GB2312" w:eastAsia="仿宋_GB2312" w:hAnsi="仿宋_GB2312" w:cs="仿宋_GB2312"/>
          <w:sz w:val="30"/>
          <w:szCs w:val="30"/>
        </w:rPr>
        <w:t>HCFCs</w:t>
      </w:r>
      <w:r w:rsidRPr="004B3F7C">
        <w:rPr>
          <w:rFonts w:ascii="仿宋_GB2312" w:eastAsia="仿宋_GB2312" w:hAnsi="仿宋_GB2312" w:cs="仿宋_GB2312" w:hint="eastAsia"/>
          <w:sz w:val="30"/>
          <w:szCs w:val="30"/>
        </w:rPr>
        <w:t>及其替代品的市场价格</w:t>
      </w:r>
      <w:r w:rsidRPr="004B3F7C">
        <w:rPr>
          <w:rFonts w:ascii="仿宋_GB2312" w:eastAsia="仿宋_GB2312" w:hAnsi="仿宋_GB2312" w:cs="仿宋_GB2312"/>
          <w:sz w:val="30"/>
          <w:szCs w:val="30"/>
        </w:rPr>
        <w:t xml:space="preserve">; </w:t>
      </w:r>
    </w:p>
    <w:p w:rsidR="00A1088E"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Pr="004B3F7C">
        <w:rPr>
          <w:rFonts w:ascii="仿宋_GB2312" w:eastAsia="仿宋_GB2312" w:hAnsi="仿宋_GB2312" w:cs="仿宋_GB2312"/>
          <w:sz w:val="30"/>
          <w:szCs w:val="30"/>
        </w:rPr>
        <w:t>HCFC-22</w:t>
      </w:r>
      <w:r w:rsidRPr="004B3F7C">
        <w:rPr>
          <w:rFonts w:ascii="仿宋_GB2312" w:eastAsia="仿宋_GB2312" w:hAnsi="仿宋_GB2312" w:cs="仿宋_GB2312" w:hint="eastAsia"/>
          <w:sz w:val="30"/>
          <w:szCs w:val="30"/>
        </w:rPr>
        <w:t>生产设施，包括生产能力、实际产量、原材料消耗、投产周期、机器运行记录，评估这些设施的运行情况，包括闲置和一体化设施；</w:t>
      </w:r>
    </w:p>
    <w:p w:rsidR="00A1088E"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Pr="004B3F7C">
        <w:rPr>
          <w:rFonts w:ascii="仿宋_GB2312" w:eastAsia="仿宋_GB2312" w:hAnsi="仿宋_GB2312" w:cs="仿宋_GB2312" w:hint="eastAsia"/>
          <w:sz w:val="30"/>
          <w:szCs w:val="30"/>
        </w:rPr>
        <w:t>四氯化碳市场信息，包括甲烷氯化物和四氯乙烯工厂生产情况、副产量、原料使用量、转换量、销售和分销模式，以验证四氯化碳生产、产生和需求是否相符</w:t>
      </w:r>
      <w:r w:rsidRPr="004B3F7C">
        <w:rPr>
          <w:rFonts w:ascii="仿宋_GB2312" w:eastAsia="仿宋_GB2312" w:hAnsi="仿宋_GB2312" w:cs="仿宋_GB2312"/>
          <w:sz w:val="30"/>
          <w:szCs w:val="30"/>
        </w:rPr>
        <w:t>;</w:t>
      </w:r>
    </w:p>
    <w:p w:rsidR="00A1088E"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sidRPr="004B3F7C">
        <w:rPr>
          <w:rFonts w:ascii="仿宋_GB2312" w:eastAsia="仿宋_GB2312" w:hAnsi="仿宋_GB2312" w:cs="仿宋_GB2312" w:hint="eastAsia"/>
          <w:sz w:val="30"/>
          <w:szCs w:val="30"/>
        </w:rPr>
        <w:t>对相关行业进行趋势分析，分析未来可持续性，是否会产生非法生产和使用。</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Pr="004B3F7C">
        <w:rPr>
          <w:rFonts w:ascii="仿宋_GB2312" w:eastAsia="仿宋_GB2312" w:hAnsi="仿宋_GB2312" w:cs="仿宋_GB2312" w:hint="eastAsia"/>
          <w:sz w:val="30"/>
          <w:szCs w:val="30"/>
        </w:rPr>
        <w:t>编制上世纪</w:t>
      </w:r>
      <w:r w:rsidRPr="004B3F7C">
        <w:rPr>
          <w:rFonts w:ascii="仿宋_GB2312" w:eastAsia="仿宋_GB2312" w:hAnsi="仿宋_GB2312" w:cs="仿宋_GB2312"/>
          <w:sz w:val="30"/>
          <w:szCs w:val="30"/>
        </w:rPr>
        <w:t>90</w:t>
      </w:r>
      <w:r w:rsidRPr="004B3F7C">
        <w:rPr>
          <w:rFonts w:ascii="仿宋_GB2312" w:eastAsia="仿宋_GB2312" w:hAnsi="仿宋_GB2312" w:cs="仿宋_GB2312" w:hint="eastAsia"/>
          <w:sz w:val="30"/>
          <w:szCs w:val="30"/>
        </w:rPr>
        <w:t>年代中期以来的</w:t>
      </w:r>
      <w:r w:rsidRPr="004B3F7C">
        <w:rPr>
          <w:rFonts w:ascii="仿宋_GB2312" w:eastAsia="仿宋_GB2312" w:hAnsi="仿宋_GB2312" w:cs="仿宋_GB2312"/>
          <w:sz w:val="30"/>
          <w:szCs w:val="30"/>
        </w:rPr>
        <w:t>CFC-11</w:t>
      </w:r>
      <w:r w:rsidRPr="004B3F7C">
        <w:rPr>
          <w:rFonts w:ascii="仿宋_GB2312" w:eastAsia="仿宋_GB2312" w:hAnsi="仿宋_GB2312" w:cs="仿宋_GB2312" w:hint="eastAsia"/>
          <w:sz w:val="30"/>
          <w:szCs w:val="30"/>
        </w:rPr>
        <w:t>和</w:t>
      </w:r>
      <w:r w:rsidRPr="004B3F7C">
        <w:rPr>
          <w:rFonts w:ascii="仿宋_GB2312" w:eastAsia="仿宋_GB2312" w:hAnsi="仿宋_GB2312" w:cs="仿宋_GB2312"/>
          <w:sz w:val="30"/>
          <w:szCs w:val="30"/>
        </w:rPr>
        <w:t>CFC-12</w:t>
      </w:r>
      <w:r w:rsidRPr="004B3F7C">
        <w:rPr>
          <w:rFonts w:ascii="仿宋_GB2312" w:eastAsia="仿宋_GB2312" w:hAnsi="仿宋_GB2312" w:cs="仿宋_GB2312" w:hint="eastAsia"/>
          <w:sz w:val="30"/>
          <w:szCs w:val="30"/>
        </w:rPr>
        <w:t>库存和存量清单，评估这些历史数据，包括生产和消费量、产品数量、产品类型、应用领域、产品生命周期、最终用户地理分布、泄漏率和数量、报废产品处理情况，以确定</w:t>
      </w:r>
      <w:r w:rsidRPr="004B3F7C">
        <w:rPr>
          <w:rFonts w:ascii="仿宋_GB2312" w:eastAsia="仿宋_GB2312" w:hAnsi="仿宋_GB2312" w:cs="仿宋_GB2312"/>
          <w:sz w:val="30"/>
          <w:szCs w:val="30"/>
        </w:rPr>
        <w:t>CFC-11</w:t>
      </w:r>
      <w:r w:rsidRPr="004B3F7C">
        <w:rPr>
          <w:rFonts w:ascii="仿宋_GB2312" w:eastAsia="仿宋_GB2312" w:hAnsi="仿宋_GB2312" w:cs="仿宋_GB2312" w:hint="eastAsia"/>
          <w:sz w:val="30"/>
          <w:szCs w:val="30"/>
        </w:rPr>
        <w:t>和</w:t>
      </w:r>
      <w:r w:rsidRPr="004B3F7C">
        <w:rPr>
          <w:rFonts w:ascii="仿宋_GB2312" w:eastAsia="仿宋_GB2312" w:hAnsi="仿宋_GB2312" w:cs="仿宋_GB2312"/>
          <w:sz w:val="30"/>
          <w:szCs w:val="30"/>
        </w:rPr>
        <w:t>CFC-12</w:t>
      </w:r>
      <w:r w:rsidRPr="004B3F7C">
        <w:rPr>
          <w:rFonts w:ascii="仿宋_GB2312" w:eastAsia="仿宋_GB2312" w:hAnsi="仿宋_GB2312" w:cs="仿宋_GB2312" w:hint="eastAsia"/>
          <w:sz w:val="30"/>
          <w:szCs w:val="30"/>
        </w:rPr>
        <w:t>存量的排放路径。</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Pr="004B3F7C">
        <w:rPr>
          <w:rFonts w:ascii="仿宋_GB2312" w:eastAsia="仿宋_GB2312" w:hAnsi="仿宋_GB2312" w:cs="仿宋_GB2312" w:hint="eastAsia"/>
          <w:sz w:val="30"/>
          <w:szCs w:val="30"/>
        </w:rPr>
        <w:t>总结法规、政策、执法和市场情形特点，包括薄弱环节，在上述研究的基础上提出应对</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管理挑战，完善法规、政策和执法体系以确保议定书可持续履约的建议。</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（五）</w:t>
      </w:r>
      <w:r w:rsidRPr="004B3F7C">
        <w:rPr>
          <w:rFonts w:ascii="仿宋_GB2312" w:eastAsia="仿宋_GB2312" w:hAnsi="仿宋_GB2312" w:cs="仿宋_GB2312" w:hint="eastAsia"/>
          <w:sz w:val="30"/>
          <w:szCs w:val="30"/>
        </w:rPr>
        <w:t>组织或推动组织由生态环境部、有关部委、行业协会、企业、行业专家等参与研究的单位参加的会议至少三次，确保最终研究报告中所采用的数据、方法和结果的真实性和可信性。</w:t>
      </w:r>
    </w:p>
    <w:p w:rsidR="00A1088E" w:rsidRPr="004B3F7C" w:rsidRDefault="00A1088E" w:rsidP="00A1088E">
      <w:pPr>
        <w:widowControl/>
        <w:tabs>
          <w:tab w:val="left" w:pos="360"/>
        </w:tabs>
        <w:spacing w:line="360" w:lineRule="exact"/>
        <w:ind w:firstLineChars="200" w:firstLine="600"/>
        <w:rPr>
          <w:rFonts w:ascii="仿宋_GB2312" w:eastAsia="仿宋_GB2312"/>
          <w:sz w:val="30"/>
          <w:szCs w:val="30"/>
        </w:rPr>
      </w:pPr>
      <w:r>
        <w:rPr>
          <w:rFonts w:ascii="仿宋_GB2312" w:eastAsia="仿宋_GB2312" w:hint="eastAsia"/>
          <w:sz w:val="30"/>
          <w:szCs w:val="30"/>
        </w:rPr>
        <w:t>（六）</w:t>
      </w:r>
      <w:r w:rsidRPr="004B3F7C">
        <w:rPr>
          <w:rFonts w:ascii="仿宋_GB2312" w:eastAsia="仿宋_GB2312" w:hint="eastAsia"/>
          <w:sz w:val="30"/>
          <w:szCs w:val="30"/>
        </w:rPr>
        <w:t>该咨询机构可参与相关方组织的可能对该研究有贡献的相关调研和会议。</w:t>
      </w:r>
    </w:p>
    <w:p w:rsidR="00A1088E" w:rsidRPr="004B3F7C" w:rsidRDefault="00A1088E" w:rsidP="00A1088E">
      <w:pPr>
        <w:spacing w:beforeLines="50" w:before="156" w:line="360" w:lineRule="exact"/>
        <w:ind w:firstLineChars="200" w:firstLine="643"/>
        <w:rPr>
          <w:rFonts w:ascii="仿宋_GB2312" w:eastAsia="仿宋_GB2312"/>
          <w:b/>
          <w:sz w:val="32"/>
          <w:szCs w:val="32"/>
        </w:rPr>
      </w:pPr>
      <w:r w:rsidRPr="004B3F7C">
        <w:rPr>
          <w:rFonts w:ascii="仿宋_GB2312" w:eastAsia="仿宋_GB2312" w:hint="eastAsia"/>
          <w:b/>
          <w:sz w:val="32"/>
          <w:szCs w:val="32"/>
        </w:rPr>
        <w:t>四、产出</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该研究产出为：</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（一）启动报告，包括项目方法、时间安排和计划的咨询</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会议</w:t>
      </w:r>
      <w:r w:rsidRPr="004B3F7C">
        <w:rPr>
          <w:rFonts w:ascii="仿宋_GB2312" w:eastAsia="仿宋_GB2312" w:hAnsi="仿宋_GB2312" w:cs="仿宋_GB2312"/>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（二）中国</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管理的法规、政策、执法和市场情况研究报告初稿；</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（三）中国</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管理的法规、政策、执法和市场情况研究报告终稿</w:t>
      </w:r>
      <w:r w:rsidRPr="004B3F7C">
        <w:rPr>
          <w:rFonts w:ascii="仿宋_GB2312" w:eastAsia="仿宋_GB2312" w:hAnsi="仿宋_GB2312" w:cs="仿宋_GB2312"/>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（四）会议记录。</w:t>
      </w:r>
    </w:p>
    <w:p w:rsidR="00A1088E" w:rsidRPr="004B3F7C" w:rsidRDefault="00A1088E" w:rsidP="00A1088E">
      <w:pPr>
        <w:spacing w:beforeLines="50" w:before="156" w:line="360" w:lineRule="exact"/>
        <w:ind w:firstLineChars="200" w:firstLine="643"/>
        <w:rPr>
          <w:rFonts w:ascii="仿宋_GB2312" w:eastAsia="仿宋_GB2312"/>
          <w:b/>
          <w:sz w:val="32"/>
          <w:szCs w:val="32"/>
        </w:rPr>
      </w:pPr>
      <w:r w:rsidRPr="004B3F7C">
        <w:rPr>
          <w:rFonts w:ascii="仿宋_GB2312" w:eastAsia="仿宋_GB2312" w:hint="eastAsia"/>
          <w:b/>
          <w:sz w:val="32"/>
          <w:szCs w:val="32"/>
        </w:rPr>
        <w:t>五、资质要求</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该非政府咨询机构将通过基于顾问资</w:t>
      </w:r>
      <w:r>
        <w:rPr>
          <w:rFonts w:ascii="仿宋_GB2312" w:eastAsia="仿宋_GB2312" w:hAnsi="仿宋_GB2312" w:cs="仿宋_GB2312" w:hint="eastAsia"/>
          <w:sz w:val="30"/>
          <w:szCs w:val="30"/>
        </w:rPr>
        <w:t>质</w:t>
      </w:r>
      <w:r w:rsidRPr="004B3F7C">
        <w:rPr>
          <w:rFonts w:ascii="仿宋_GB2312" w:eastAsia="仿宋_GB2312" w:hAnsi="仿宋_GB2312" w:cs="仿宋_GB2312" w:hint="eastAsia"/>
          <w:sz w:val="30"/>
          <w:szCs w:val="30"/>
        </w:rPr>
        <w:t>的选择方式选出。该咨询机构应当建立至少有</w:t>
      </w:r>
      <w:r w:rsidRPr="004B3F7C">
        <w:rPr>
          <w:rFonts w:ascii="仿宋_GB2312" w:eastAsia="仿宋_GB2312" w:hAnsi="仿宋_GB2312" w:cs="仿宋_GB2312"/>
          <w:sz w:val="30"/>
          <w:szCs w:val="30"/>
        </w:rPr>
        <w:t>5</w:t>
      </w:r>
      <w:r w:rsidRPr="004B3F7C">
        <w:rPr>
          <w:rFonts w:ascii="仿宋_GB2312" w:eastAsia="仿宋_GB2312" w:hAnsi="仿宋_GB2312" w:cs="仿宋_GB2312" w:hint="eastAsia"/>
          <w:sz w:val="30"/>
          <w:szCs w:val="30"/>
        </w:rPr>
        <w:t>名组员和和</w:t>
      </w:r>
      <w:r w:rsidRPr="004B3F7C">
        <w:rPr>
          <w:rFonts w:ascii="仿宋_GB2312" w:eastAsia="仿宋_GB2312" w:hAnsi="仿宋_GB2312" w:cs="仿宋_GB2312"/>
          <w:sz w:val="30"/>
          <w:szCs w:val="30"/>
        </w:rPr>
        <w:t>1</w:t>
      </w:r>
      <w:r w:rsidRPr="004B3F7C">
        <w:rPr>
          <w:rFonts w:ascii="仿宋_GB2312" w:eastAsia="仿宋_GB2312" w:hAnsi="仿宋_GB2312" w:cs="仿宋_GB2312" w:hint="eastAsia"/>
          <w:sz w:val="30"/>
          <w:szCs w:val="30"/>
        </w:rPr>
        <w:t>名组长的工作小组。</w:t>
      </w:r>
      <w:r w:rsidRPr="004B3F7C">
        <w:rPr>
          <w:rFonts w:ascii="仿宋_GB2312" w:eastAsia="仿宋_GB2312" w:hAnsi="仿宋_GB2312" w:cs="仿宋_GB2312"/>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咨询机构应具备以下资质：</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w:t>
      </w:r>
      <w:r w:rsidRPr="004B3F7C">
        <w:rPr>
          <w:rFonts w:ascii="仿宋_GB2312" w:eastAsia="仿宋_GB2312" w:hAnsi="仿宋_GB2312" w:cs="仿宋_GB2312" w:hint="eastAsia"/>
          <w:sz w:val="30"/>
          <w:szCs w:val="30"/>
        </w:rPr>
        <w:t>在中国注册的独立法人的合法组织；</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sidRPr="004B3F7C">
        <w:rPr>
          <w:rFonts w:ascii="仿宋_GB2312" w:eastAsia="仿宋_GB2312" w:hAnsi="仿宋_GB2312" w:cs="仿宋_GB2312" w:hint="eastAsia"/>
          <w:sz w:val="30"/>
          <w:szCs w:val="30"/>
        </w:rPr>
        <w:t>至少</w:t>
      </w:r>
      <w:r>
        <w:rPr>
          <w:rFonts w:ascii="仿宋_GB2312" w:eastAsia="仿宋_GB2312" w:hAnsi="仿宋_GB2312" w:cs="仿宋_GB2312"/>
          <w:sz w:val="30"/>
          <w:szCs w:val="30"/>
        </w:rPr>
        <w:t>5</w:t>
      </w:r>
      <w:r w:rsidRPr="004B3F7C">
        <w:rPr>
          <w:rFonts w:ascii="仿宋_GB2312" w:eastAsia="仿宋_GB2312" w:hAnsi="仿宋_GB2312" w:cs="仿宋_GB2312" w:hint="eastAsia"/>
          <w:sz w:val="30"/>
          <w:szCs w:val="30"/>
        </w:rPr>
        <w:t>年为政府、多边或国际组织提供环境政策咨询的经验</w:t>
      </w:r>
      <w:r w:rsidRPr="004B3F7C">
        <w:rPr>
          <w:rFonts w:ascii="仿宋_GB2312" w:eastAsia="仿宋_GB2312" w:hAnsi="仿宋_GB2312" w:cs="仿宋_GB2312"/>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sidRPr="007C233C">
        <w:rPr>
          <w:rFonts w:ascii="仿宋_GB2312" w:eastAsia="仿宋_GB2312" w:hAnsi="仿宋_GB2312" w:cs="仿宋_GB2312" w:hint="eastAsia"/>
          <w:sz w:val="30"/>
          <w:szCs w:val="30"/>
        </w:rPr>
        <w:t>熟悉</w:t>
      </w:r>
      <w:r>
        <w:rPr>
          <w:rFonts w:ascii="仿宋_GB2312" w:eastAsia="仿宋_GB2312" w:hAnsi="仿宋_GB2312" w:cs="仿宋_GB2312" w:hint="eastAsia"/>
          <w:sz w:val="30"/>
          <w:szCs w:val="30"/>
        </w:rPr>
        <w:t>包括中国在内的</w:t>
      </w:r>
      <w:r w:rsidRPr="007C233C">
        <w:rPr>
          <w:rFonts w:ascii="仿宋_GB2312" w:eastAsia="仿宋_GB2312" w:hAnsi="仿宋_GB2312" w:cs="仿宋_GB2312" w:hint="eastAsia"/>
          <w:sz w:val="30"/>
          <w:szCs w:val="30"/>
        </w:rPr>
        <w:t>蒙特利尔议定书主要缔约方，特别第5条缔约方淘汰ODS及法规、政策、执法体系等要求</w:t>
      </w:r>
      <w:r w:rsidRPr="004B3F7C">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Pr="004B3F7C">
        <w:rPr>
          <w:rFonts w:ascii="仿宋_GB2312" w:eastAsia="仿宋_GB2312" w:hAnsi="仿宋_GB2312" w:cs="仿宋_GB2312" w:hint="eastAsia"/>
          <w:sz w:val="30"/>
          <w:szCs w:val="30"/>
        </w:rPr>
        <w:t>熟悉私营部门，特别是化工产品的市场和供应链，熟悉了解蒙特利尔议定书行业</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生产和泡沫、制冷、清洗</w:t>
      </w:r>
      <w:r w:rsidRPr="004B3F7C">
        <w:rPr>
          <w:rFonts w:ascii="仿宋_GB2312" w:eastAsia="仿宋_GB2312" w:hAnsi="仿宋_GB2312" w:cs="仿宋_GB2312"/>
          <w:sz w:val="30"/>
          <w:szCs w:val="30"/>
        </w:rPr>
        <w:t>ODS</w:t>
      </w:r>
      <w:r w:rsidRPr="004B3F7C">
        <w:rPr>
          <w:rFonts w:ascii="仿宋_GB2312" w:eastAsia="仿宋_GB2312" w:hAnsi="仿宋_GB2312" w:cs="仿宋_GB2312" w:hint="eastAsia"/>
          <w:sz w:val="30"/>
          <w:szCs w:val="30"/>
        </w:rPr>
        <w:t>消费</w:t>
      </w:r>
      <w:r w:rsidRPr="004B3F7C">
        <w:rPr>
          <w:rFonts w:ascii="仿宋_GB2312" w:eastAsia="仿宋_GB2312" w:hAnsi="仿宋_GB2312" w:cs="仿宋_GB2312"/>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团队负责人应具备以下资质：</w:t>
      </w:r>
    </w:p>
    <w:p w:rsidR="00A1088E" w:rsidRDefault="00A1088E" w:rsidP="00A1088E">
      <w:pPr>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w:t>
      </w:r>
      <w:r w:rsidRPr="007C233C">
        <w:rPr>
          <w:rFonts w:ascii="仿宋_GB2312" w:eastAsia="仿宋_GB2312" w:hAnsi="仿宋_GB2312" w:cs="仿宋_GB2312" w:hint="eastAsia"/>
          <w:sz w:val="30"/>
          <w:szCs w:val="30"/>
        </w:rPr>
        <w:t>具备环境管理、科学技术等相关专业硕士及以上学位</w:t>
      </w:r>
      <w:r>
        <w:rPr>
          <w:rFonts w:ascii="仿宋_GB2312" w:eastAsia="仿宋_GB2312" w:hAnsi="仿宋_GB2312" w:cs="仿宋_GB2312" w:hint="eastAsia"/>
          <w:sz w:val="30"/>
          <w:szCs w:val="30"/>
        </w:rPr>
        <w:t>；</w:t>
      </w:r>
    </w:p>
    <w:p w:rsidR="00A1088E" w:rsidRDefault="00A1088E" w:rsidP="00A1088E">
      <w:pPr>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sidRPr="00AF786C">
        <w:rPr>
          <w:rFonts w:ascii="仿宋_GB2312" w:eastAsia="仿宋_GB2312" w:hAnsi="仿宋_GB2312" w:cs="仿宋_GB2312" w:hint="eastAsia"/>
          <w:sz w:val="30"/>
          <w:szCs w:val="30"/>
        </w:rPr>
        <w:t>熟悉《蒙特利尔议定书》和多边基金的历史、机构和执行情况，特别是ODS生产消费大国及第五条款缔约方，对中国ODS行业、ODS淘汰过程、ODS管理法规以及中央地方法规、执行、政策体系有广泛知识和理解</w:t>
      </w:r>
      <w:r>
        <w:rPr>
          <w:rFonts w:ascii="仿宋_GB2312" w:eastAsia="仿宋_GB2312" w:hAnsi="仿宋_GB2312" w:cs="仿宋_GB2312" w:hint="eastAsia"/>
          <w:sz w:val="30"/>
          <w:szCs w:val="30"/>
        </w:rPr>
        <w:t>；</w:t>
      </w:r>
    </w:p>
    <w:p w:rsidR="00A1088E" w:rsidRPr="004B3F7C" w:rsidRDefault="00A1088E" w:rsidP="00A1088E">
      <w:pPr>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sidRPr="00AF786C">
        <w:rPr>
          <w:rFonts w:ascii="仿宋_GB2312" w:eastAsia="仿宋_GB2312" w:hAnsi="仿宋_GB2312" w:cs="仿宋_GB2312" w:hint="eastAsia"/>
          <w:sz w:val="30"/>
          <w:szCs w:val="30"/>
        </w:rPr>
        <w:t>在该领域作为团队负责人具有至少5年为行业、政府、多边或国际组织提供环境政策咨询的经验</w:t>
      </w:r>
      <w:r w:rsidRPr="004B3F7C">
        <w:rPr>
          <w:rFonts w:ascii="仿宋_GB2312" w:eastAsia="仿宋_GB2312" w:hAnsi="仿宋_GB2312" w:cs="仿宋_GB2312" w:hint="eastAsia"/>
          <w:sz w:val="30"/>
          <w:szCs w:val="30"/>
        </w:rPr>
        <w:t>；</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Pr="004B3F7C">
        <w:rPr>
          <w:rFonts w:ascii="仿宋_GB2312" w:eastAsia="仿宋_GB2312" w:hAnsi="仿宋_GB2312" w:cs="仿宋_GB2312" w:hint="eastAsia"/>
          <w:sz w:val="30"/>
          <w:szCs w:val="30"/>
        </w:rPr>
        <w:t>良好的英文写作和口语能力。</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团队成员资质：</w:t>
      </w:r>
    </w:p>
    <w:p w:rsidR="00A1088E" w:rsidRPr="00AF786C" w:rsidRDefault="00A1088E" w:rsidP="00A1088E">
      <w:pPr>
        <w:tabs>
          <w:tab w:val="left" w:pos="360"/>
        </w:tabs>
        <w:spacing w:line="3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w:t>
      </w:r>
      <w:r w:rsidRPr="00AF786C">
        <w:rPr>
          <w:rFonts w:ascii="仿宋_GB2312" w:eastAsia="仿宋_GB2312" w:hAnsi="仿宋_GB2312" w:cs="仿宋_GB2312" w:hint="eastAsia"/>
          <w:sz w:val="30"/>
          <w:szCs w:val="30"/>
        </w:rPr>
        <w:t>至少2人具有相关领域本科以上学位（需提供相关证明）</w:t>
      </w:r>
      <w:r>
        <w:rPr>
          <w:rFonts w:ascii="仿宋_GB2312" w:eastAsia="仿宋_GB2312" w:hAnsi="仿宋_GB2312" w:cs="仿宋_GB2312" w:hint="eastAsia"/>
          <w:sz w:val="30"/>
          <w:szCs w:val="30"/>
        </w:rPr>
        <w:t>；</w:t>
      </w:r>
    </w:p>
    <w:p w:rsidR="00A1088E" w:rsidRDefault="00A1088E" w:rsidP="00A1088E">
      <w:pPr>
        <w:tabs>
          <w:tab w:val="left" w:pos="360"/>
        </w:tabs>
        <w:spacing w:line="3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（二）</w:t>
      </w:r>
      <w:r w:rsidRPr="00AF786C">
        <w:rPr>
          <w:rFonts w:ascii="仿宋_GB2312" w:eastAsia="仿宋_GB2312" w:hAnsi="仿宋_GB2312" w:cs="仿宋_GB2312" w:hint="eastAsia"/>
          <w:sz w:val="30"/>
          <w:szCs w:val="30"/>
        </w:rPr>
        <w:t>至少3年以上相关领域工作经验（</w:t>
      </w:r>
      <w:r w:rsidRPr="004B3F7C">
        <w:rPr>
          <w:rFonts w:ascii="仿宋_GB2312" w:eastAsia="仿宋_GB2312" w:hAnsi="仿宋_GB2312" w:cs="仿宋_GB2312" w:hint="eastAsia"/>
          <w:sz w:val="30"/>
          <w:szCs w:val="30"/>
        </w:rPr>
        <w:t>经济学、数据收集和管理、化学</w:t>
      </w:r>
      <w:r w:rsidRPr="004B3F7C">
        <w:rPr>
          <w:rFonts w:ascii="仿宋_GB2312" w:eastAsia="仿宋_GB2312" w:hAnsi="仿宋_GB2312" w:cs="仿宋_GB2312"/>
          <w:sz w:val="30"/>
          <w:szCs w:val="30"/>
        </w:rPr>
        <w:t>/</w:t>
      </w:r>
      <w:r w:rsidRPr="004B3F7C">
        <w:rPr>
          <w:rFonts w:ascii="仿宋_GB2312" w:eastAsia="仿宋_GB2312" w:hAnsi="仿宋_GB2312" w:cs="仿宋_GB2312" w:hint="eastAsia"/>
          <w:sz w:val="30"/>
          <w:szCs w:val="30"/>
        </w:rPr>
        <w:t>工艺工程和环境政策</w:t>
      </w:r>
      <w:r>
        <w:rPr>
          <w:rFonts w:ascii="仿宋_GB2312" w:eastAsia="仿宋_GB2312" w:hAnsi="仿宋_GB2312" w:cs="仿宋_GB2312" w:hint="eastAsia"/>
          <w:sz w:val="30"/>
          <w:szCs w:val="30"/>
        </w:rPr>
        <w:t>相关</w:t>
      </w:r>
      <w:r w:rsidRPr="00AF786C">
        <w:rPr>
          <w:rFonts w:ascii="仿宋_GB2312" w:eastAsia="仿宋_GB2312" w:hAnsi="仿宋_GB2312" w:cs="仿宋_GB2312" w:hint="eastAsia"/>
          <w:sz w:val="30"/>
          <w:szCs w:val="30"/>
        </w:rPr>
        <w:t>）。</w:t>
      </w:r>
    </w:p>
    <w:p w:rsidR="00A1088E" w:rsidRPr="004B3F7C" w:rsidRDefault="00A1088E" w:rsidP="00A1088E">
      <w:pPr>
        <w:spacing w:beforeLines="50" w:before="156" w:line="360" w:lineRule="exact"/>
        <w:ind w:firstLineChars="200" w:firstLine="643"/>
        <w:rPr>
          <w:rFonts w:ascii="仿宋_GB2312" w:eastAsia="仿宋_GB2312"/>
          <w:b/>
          <w:sz w:val="32"/>
          <w:szCs w:val="32"/>
        </w:rPr>
      </w:pPr>
      <w:r w:rsidRPr="004B3F7C">
        <w:rPr>
          <w:rFonts w:ascii="仿宋_GB2312" w:eastAsia="仿宋_GB2312" w:hint="eastAsia"/>
          <w:b/>
          <w:sz w:val="32"/>
          <w:szCs w:val="32"/>
        </w:rPr>
        <w:t>六、进度安排</w:t>
      </w:r>
    </w:p>
    <w:p w:rsidR="00A1088E" w:rsidRPr="004B3F7C" w:rsidRDefault="00A1088E" w:rsidP="00A1088E">
      <w:pPr>
        <w:widowControl/>
        <w:tabs>
          <w:tab w:val="left" w:pos="360"/>
        </w:tabs>
        <w:spacing w:line="360" w:lineRule="exact"/>
        <w:ind w:firstLineChars="200" w:firstLine="600"/>
        <w:rPr>
          <w:rFonts w:ascii="仿宋_GB2312" w:eastAsia="仿宋_GB2312" w:hAnsi="仿宋_GB2312" w:cs="仿宋_GB2312"/>
          <w:sz w:val="30"/>
          <w:szCs w:val="30"/>
        </w:rPr>
      </w:pPr>
      <w:r w:rsidRPr="004B3F7C">
        <w:rPr>
          <w:rFonts w:ascii="仿宋_GB2312" w:eastAsia="仿宋_GB2312" w:hAnsi="仿宋_GB2312" w:cs="仿宋_GB2312" w:hint="eastAsia"/>
          <w:sz w:val="30"/>
          <w:szCs w:val="30"/>
        </w:rPr>
        <w:t>所选非政府咨询机构将按照以下时间表完成中国政府认可的研究报告。</w:t>
      </w:r>
      <w:r w:rsidRPr="004B3F7C">
        <w:rPr>
          <w:rFonts w:ascii="仿宋_GB2312" w:eastAsia="仿宋_GB2312" w:hAnsi="仿宋_GB2312" w:cs="仿宋_GB2312"/>
          <w:sz w:val="30"/>
          <w:szCs w:val="30"/>
        </w:rPr>
        <w:t xml:space="preserve"> </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6435"/>
      </w:tblGrid>
      <w:tr w:rsidR="00A1088E" w:rsidTr="00F40043">
        <w:trPr>
          <w:trHeight w:val="418"/>
          <w:jc w:val="center"/>
        </w:trPr>
        <w:tc>
          <w:tcPr>
            <w:tcW w:w="2007" w:type="dxa"/>
            <w:tcMar>
              <w:top w:w="0" w:type="dxa"/>
              <w:right w:w="0" w:type="dxa"/>
            </w:tcMar>
            <w:vAlign w:val="center"/>
          </w:tcPr>
          <w:p w:rsidR="00A1088E" w:rsidRDefault="00A1088E" w:rsidP="00F40043">
            <w:pPr>
              <w:widowControl/>
              <w:autoSpaceDE w:val="0"/>
              <w:autoSpaceDN w:val="0"/>
              <w:adjustRightInd w:val="0"/>
              <w:jc w:val="center"/>
              <w:rPr>
                <w:b/>
                <w:kern w:val="0"/>
                <w:sz w:val="20"/>
                <w:szCs w:val="20"/>
              </w:rPr>
            </w:pPr>
            <w:r>
              <w:rPr>
                <w:rFonts w:ascii="仿宋_GB2312" w:eastAsia="仿宋_GB2312" w:hint="eastAsia"/>
                <w:b/>
                <w:sz w:val="28"/>
                <w:szCs w:val="28"/>
              </w:rPr>
              <w:t>日期</w:t>
            </w:r>
          </w:p>
        </w:tc>
        <w:tc>
          <w:tcPr>
            <w:tcW w:w="6435" w:type="dxa"/>
            <w:tcMar>
              <w:top w:w="0" w:type="dxa"/>
              <w:right w:w="0" w:type="dxa"/>
            </w:tcMar>
            <w:vAlign w:val="center"/>
          </w:tcPr>
          <w:p w:rsidR="00A1088E" w:rsidRDefault="00A1088E" w:rsidP="00F40043">
            <w:pPr>
              <w:widowControl/>
              <w:autoSpaceDE w:val="0"/>
              <w:autoSpaceDN w:val="0"/>
              <w:adjustRightInd w:val="0"/>
              <w:jc w:val="center"/>
              <w:rPr>
                <w:rFonts w:ascii="仿宋_GB2312" w:eastAsia="仿宋_GB2312"/>
                <w:b/>
                <w:sz w:val="28"/>
                <w:szCs w:val="28"/>
              </w:rPr>
            </w:pPr>
            <w:r>
              <w:rPr>
                <w:rFonts w:ascii="仿宋_GB2312" w:eastAsia="仿宋_GB2312" w:hint="eastAsia"/>
                <w:b/>
                <w:sz w:val="28"/>
                <w:szCs w:val="28"/>
              </w:rPr>
              <w:t>工作任务</w:t>
            </w:r>
          </w:p>
        </w:tc>
      </w:tr>
      <w:tr w:rsidR="00A1088E" w:rsidTr="00F40043">
        <w:trPr>
          <w:trHeight w:val="418"/>
          <w:jc w:val="center"/>
        </w:trPr>
        <w:tc>
          <w:tcPr>
            <w:tcW w:w="2007"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11</w:t>
            </w:r>
            <w:r>
              <w:rPr>
                <w:rFonts w:ascii="仿宋_GB2312" w:eastAsia="仿宋_GB2312" w:hint="eastAsia"/>
                <w:sz w:val="28"/>
                <w:szCs w:val="28"/>
              </w:rPr>
              <w:t>月</w:t>
            </w:r>
          </w:p>
        </w:tc>
        <w:tc>
          <w:tcPr>
            <w:tcW w:w="6435"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提交启动报告；</w:t>
            </w:r>
          </w:p>
        </w:tc>
      </w:tr>
      <w:tr w:rsidR="00A1088E" w:rsidTr="00F40043">
        <w:trPr>
          <w:trHeight w:val="90"/>
          <w:jc w:val="center"/>
        </w:trPr>
        <w:tc>
          <w:tcPr>
            <w:tcW w:w="2007"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w:t>
            </w:r>
            <w:r>
              <w:rPr>
                <w:rFonts w:ascii="仿宋_GB2312" w:eastAsia="仿宋_GB2312"/>
                <w:sz w:val="28"/>
                <w:szCs w:val="28"/>
              </w:rPr>
              <w:t>1</w:t>
            </w:r>
            <w:r>
              <w:rPr>
                <w:rFonts w:ascii="仿宋_GB2312" w:eastAsia="仿宋_GB2312" w:hint="eastAsia"/>
                <w:sz w:val="28"/>
                <w:szCs w:val="28"/>
              </w:rPr>
              <w:t>月</w:t>
            </w:r>
          </w:p>
        </w:tc>
        <w:tc>
          <w:tcPr>
            <w:tcW w:w="6435"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完成数据和信息收集;</w:t>
            </w:r>
          </w:p>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完成法规、政策、执法及市场情况分析;</w:t>
            </w:r>
          </w:p>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起草报告框架，收集初步数据，第一次会议讨论;</w:t>
            </w:r>
          </w:p>
        </w:tc>
      </w:tr>
      <w:tr w:rsidR="00A1088E" w:rsidTr="00F40043">
        <w:trPr>
          <w:trHeight w:val="681"/>
          <w:jc w:val="center"/>
        </w:trPr>
        <w:tc>
          <w:tcPr>
            <w:tcW w:w="2007" w:type="dxa"/>
            <w:tcMar>
              <w:top w:w="0" w:type="dxa"/>
              <w:right w:w="0" w:type="dxa"/>
            </w:tcMar>
            <w:vAlign w:val="center"/>
          </w:tcPr>
          <w:p w:rsidR="00A1088E" w:rsidRPr="004B3F7C"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年3月</w:t>
            </w:r>
          </w:p>
        </w:tc>
        <w:tc>
          <w:tcPr>
            <w:tcW w:w="6435"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完成报告初稿；</w:t>
            </w:r>
          </w:p>
          <w:p w:rsidR="00A1088E" w:rsidRPr="004B3F7C"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第二次会议讨论审议报告初稿；</w:t>
            </w:r>
          </w:p>
        </w:tc>
      </w:tr>
      <w:tr w:rsidR="00A1088E" w:rsidTr="00F40043">
        <w:trPr>
          <w:trHeight w:val="783"/>
          <w:jc w:val="center"/>
        </w:trPr>
        <w:tc>
          <w:tcPr>
            <w:tcW w:w="2007" w:type="dxa"/>
            <w:tcMar>
              <w:top w:w="0" w:type="dxa"/>
              <w:right w:w="0" w:type="dxa"/>
            </w:tcMar>
            <w:vAlign w:val="center"/>
          </w:tcPr>
          <w:p w:rsidR="00A1088E" w:rsidRPr="004B3F7C"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p>
        </w:tc>
        <w:tc>
          <w:tcPr>
            <w:tcW w:w="6435"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初稿完成修改；</w:t>
            </w:r>
          </w:p>
          <w:p w:rsidR="00A1088E" w:rsidRPr="004B3F7C"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第三次会议讨论报告修改稿；</w:t>
            </w:r>
          </w:p>
        </w:tc>
      </w:tr>
      <w:tr w:rsidR="00A1088E" w:rsidTr="00F40043">
        <w:trPr>
          <w:trHeight w:val="583"/>
          <w:jc w:val="center"/>
        </w:trPr>
        <w:tc>
          <w:tcPr>
            <w:tcW w:w="2007" w:type="dxa"/>
            <w:tcMar>
              <w:top w:w="0" w:type="dxa"/>
              <w:right w:w="0" w:type="dxa"/>
            </w:tcMar>
            <w:vAlign w:val="center"/>
          </w:tcPr>
          <w:p w:rsidR="00A1088E" w:rsidRPr="004B3F7C"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w:t>
            </w:r>
            <w:r>
              <w:rPr>
                <w:rFonts w:ascii="仿宋_GB2312" w:eastAsia="仿宋_GB2312"/>
                <w:sz w:val="28"/>
                <w:szCs w:val="28"/>
              </w:rPr>
              <w:t>8</w:t>
            </w:r>
            <w:r>
              <w:rPr>
                <w:rFonts w:ascii="仿宋_GB2312" w:eastAsia="仿宋_GB2312" w:hint="eastAsia"/>
                <w:sz w:val="28"/>
                <w:szCs w:val="28"/>
              </w:rPr>
              <w:t>月</w:t>
            </w:r>
          </w:p>
        </w:tc>
        <w:tc>
          <w:tcPr>
            <w:tcW w:w="6435" w:type="dxa"/>
            <w:tcMar>
              <w:top w:w="0" w:type="dxa"/>
              <w:right w:w="0" w:type="dxa"/>
            </w:tcMar>
            <w:vAlign w:val="center"/>
          </w:tcPr>
          <w:p w:rsidR="00A1088E"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完成报告终稿；</w:t>
            </w:r>
          </w:p>
          <w:p w:rsidR="00A1088E" w:rsidRPr="004B3F7C" w:rsidRDefault="00A1088E" w:rsidP="00F40043">
            <w:pPr>
              <w:widowControl/>
              <w:tabs>
                <w:tab w:val="left" w:pos="2160"/>
              </w:tabs>
              <w:autoSpaceDE w:val="0"/>
              <w:autoSpaceDN w:val="0"/>
              <w:adjustRightInd w:val="0"/>
              <w:spacing w:line="320" w:lineRule="exact"/>
              <w:jc w:val="left"/>
              <w:rPr>
                <w:rFonts w:ascii="仿宋_GB2312" w:eastAsia="仿宋_GB2312"/>
                <w:sz w:val="28"/>
                <w:szCs w:val="28"/>
              </w:rPr>
            </w:pPr>
            <w:r>
              <w:rPr>
                <w:rFonts w:ascii="仿宋_GB2312" w:eastAsia="仿宋_GB2312" w:hint="eastAsia"/>
                <w:sz w:val="28"/>
                <w:szCs w:val="28"/>
              </w:rPr>
              <w:t>报告终稿提交。</w:t>
            </w:r>
          </w:p>
        </w:tc>
      </w:tr>
    </w:tbl>
    <w:p w:rsidR="00932920" w:rsidRPr="00A1088E" w:rsidRDefault="00932920"/>
    <w:sectPr w:rsidR="00932920" w:rsidRPr="00A10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8E"/>
    <w:rsid w:val="00932920"/>
    <w:rsid w:val="00A1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D2E1-C8B3-4528-8B22-28F56F25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8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li.li@mepfeco.org.cn</dc:creator>
  <cp:keywords/>
  <dc:description/>
  <cp:lastModifiedBy>li.li@mepfeco.org.cn</cp:lastModifiedBy>
  <cp:revision>1</cp:revision>
  <dcterms:created xsi:type="dcterms:W3CDTF">2019-11-01T01:05:00Z</dcterms:created>
  <dcterms:modified xsi:type="dcterms:W3CDTF">2019-11-01T01:05:00Z</dcterms:modified>
</cp:coreProperties>
</file>